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60" w:rsidRPr="00586F8F" w:rsidRDefault="00AB6255" w:rsidP="00AD215D">
      <w:pPr>
        <w:pStyle w:val="Title"/>
        <w:pBdr>
          <w:bottom w:val="dotted" w:sz="2" w:space="2" w:color="632423" w:themeColor="accent2" w:themeShade="80"/>
        </w:pBdr>
        <w:rPr>
          <w:rFonts w:ascii="Garamond" w:hAnsi="Garamond"/>
        </w:rPr>
      </w:pPr>
      <w:bookmarkStart w:id="0" w:name="_GoBack"/>
      <w:bookmarkEnd w:id="0"/>
      <w:r w:rsidRPr="00586F8F">
        <w:rPr>
          <w:rFonts w:ascii="Garamond" w:hAnsi="Garamond"/>
        </w:rPr>
        <w:t>workshop programme</w:t>
      </w:r>
    </w:p>
    <w:p w:rsidR="007525D0" w:rsidRDefault="00AB6255" w:rsidP="007525D0">
      <w:pPr>
        <w:pStyle w:val="Heading1"/>
        <w:tabs>
          <w:tab w:val="center" w:pos="4680"/>
          <w:tab w:val="left" w:pos="8111"/>
        </w:tabs>
        <w:spacing w:before="120" w:line="240" w:lineRule="auto"/>
        <w:jc w:val="left"/>
        <w:rPr>
          <w:rFonts w:ascii="Garamond" w:hAnsi="Garamond"/>
        </w:rPr>
      </w:pPr>
      <w:r w:rsidRPr="00586F8F">
        <w:rPr>
          <w:rFonts w:ascii="Garamond" w:hAnsi="Garamond"/>
        </w:rPr>
        <w:tab/>
        <w:t>22 march 2019</w:t>
      </w:r>
    </w:p>
    <w:p w:rsidR="00E87680" w:rsidRPr="007525D0" w:rsidRDefault="007525D0" w:rsidP="007525D0">
      <w:pPr>
        <w:pStyle w:val="Heading1"/>
        <w:tabs>
          <w:tab w:val="center" w:pos="4680"/>
          <w:tab w:val="left" w:pos="8111"/>
        </w:tabs>
        <w:spacing w:before="120" w:line="240" w:lineRule="auto"/>
        <w:rPr>
          <w:rFonts w:ascii="Garamond" w:hAnsi="Garamond"/>
        </w:rPr>
      </w:pPr>
      <w:r w:rsidRPr="007525D0">
        <w:rPr>
          <w:rFonts w:ascii="Garamond" w:hAnsi="Garamond"/>
          <w:sz w:val="20"/>
          <w:szCs w:val="20"/>
        </w:rPr>
        <w:t>Seminar Room, 3</w:t>
      </w:r>
      <w:r w:rsidRPr="007525D0">
        <w:rPr>
          <w:rFonts w:ascii="Garamond" w:hAnsi="Garamond"/>
          <w:sz w:val="20"/>
          <w:szCs w:val="20"/>
          <w:vertAlign w:val="superscript"/>
        </w:rPr>
        <w:t>rd</w:t>
      </w:r>
      <w:r w:rsidRPr="007525D0">
        <w:rPr>
          <w:rFonts w:ascii="Garamond" w:hAnsi="Garamond"/>
          <w:sz w:val="20"/>
          <w:szCs w:val="20"/>
        </w:rPr>
        <w:t xml:space="preserve"> floor</w:t>
      </w:r>
    </w:p>
    <w:tbl>
      <w:tblPr>
        <w:tblStyle w:val="GridTable2-Accent2"/>
        <w:tblW w:w="5354" w:type="pct"/>
        <w:tblInd w:w="-28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onference agenda information layout table #1"/>
      </w:tblPr>
      <w:tblGrid>
        <w:gridCol w:w="1928"/>
        <w:gridCol w:w="7731"/>
      </w:tblGrid>
      <w:tr w:rsidR="00844B99" w:rsidRPr="008046A1" w:rsidTr="00804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70C9C" w:rsidRPr="00170C9C" w:rsidRDefault="00170C9C" w:rsidP="00140C7D">
            <w:pPr>
              <w:rPr>
                <w:rFonts w:ascii="Garamond" w:hAnsi="Garamond"/>
                <w:sz w:val="24"/>
                <w:szCs w:val="24"/>
              </w:rPr>
            </w:pPr>
            <w:r w:rsidRPr="00170C9C">
              <w:rPr>
                <w:rFonts w:ascii="Garamond" w:hAnsi="Garamond"/>
                <w:sz w:val="24"/>
                <w:szCs w:val="24"/>
              </w:rPr>
              <w:t>17:00-17:30</w:t>
            </w:r>
          </w:p>
          <w:p w:rsidR="00170C9C" w:rsidRDefault="00170C9C" w:rsidP="00140C7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:rsidR="00140C7D" w:rsidRPr="008046A1" w:rsidRDefault="00844B99" w:rsidP="00140C7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>17</w:t>
            </w:r>
            <w:r w:rsidR="00AB6255" w:rsidRPr="008046A1">
              <w:rPr>
                <w:rFonts w:ascii="Garamond" w:hAnsi="Garamond"/>
                <w:sz w:val="24"/>
                <w:szCs w:val="24"/>
              </w:rPr>
              <w:t>:30</w:t>
            </w:r>
            <w:r w:rsidR="002922D0" w:rsidRPr="008046A1">
              <w:rPr>
                <w:rFonts w:ascii="Garamond" w:hAnsi="Garamond"/>
                <w:sz w:val="24"/>
                <w:szCs w:val="24"/>
              </w:rPr>
              <w:t>–</w:t>
            </w:r>
            <w:r w:rsidRPr="008046A1">
              <w:rPr>
                <w:rFonts w:ascii="Garamond" w:hAnsi="Garamond"/>
                <w:sz w:val="24"/>
                <w:szCs w:val="24"/>
              </w:rPr>
              <w:t>17</w:t>
            </w:r>
            <w:r w:rsidR="00AB6255" w:rsidRPr="008046A1">
              <w:rPr>
                <w:rFonts w:ascii="Garamond" w:hAnsi="Garamond"/>
                <w:sz w:val="24"/>
                <w:szCs w:val="24"/>
              </w:rPr>
              <w:t>:</w:t>
            </w:r>
            <w:r w:rsidR="00027937" w:rsidRPr="008046A1">
              <w:rPr>
                <w:rFonts w:ascii="Garamond" w:hAnsi="Garamond"/>
                <w:sz w:val="24"/>
                <w:szCs w:val="24"/>
              </w:rPr>
              <w:t>4</w:t>
            </w:r>
            <w:r w:rsidR="00AB6255" w:rsidRPr="008046A1">
              <w:rPr>
                <w:rFonts w:ascii="Garamond" w:hAnsi="Garamond"/>
                <w:sz w:val="24"/>
                <w:szCs w:val="24"/>
              </w:rPr>
              <w:t>0</w:t>
            </w:r>
          </w:p>
          <w:p w:rsidR="007525D0" w:rsidRPr="008046A1" w:rsidRDefault="007525D0" w:rsidP="007525D0">
            <w:pPr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Welcome </w:t>
            </w:r>
          </w:p>
          <w:p w:rsidR="007525D0" w:rsidRPr="003763C0" w:rsidRDefault="007525D0" w:rsidP="00140C7D">
            <w:pPr>
              <w:rPr>
                <w:rFonts w:ascii="Garamond" w:hAnsi="Garamond"/>
                <w:sz w:val="20"/>
                <w:szCs w:val="20"/>
              </w:rPr>
            </w:pPr>
          </w:p>
          <w:p w:rsidR="007525D0" w:rsidRPr="008046A1" w:rsidRDefault="00844B99" w:rsidP="007525D0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>17</w:t>
            </w:r>
            <w:r w:rsidR="007525D0" w:rsidRPr="008046A1">
              <w:rPr>
                <w:rFonts w:ascii="Garamond" w:hAnsi="Garamond"/>
                <w:sz w:val="24"/>
                <w:szCs w:val="24"/>
              </w:rPr>
              <w:t>:40</w:t>
            </w:r>
            <w:r w:rsidR="002922D0" w:rsidRPr="008046A1">
              <w:rPr>
                <w:rFonts w:ascii="Garamond" w:hAnsi="Garamond"/>
                <w:sz w:val="24"/>
                <w:szCs w:val="24"/>
              </w:rPr>
              <w:t>–</w:t>
            </w:r>
            <w:r w:rsidRPr="008046A1">
              <w:rPr>
                <w:rFonts w:ascii="Garamond" w:hAnsi="Garamond"/>
                <w:sz w:val="24"/>
                <w:szCs w:val="24"/>
              </w:rPr>
              <w:t>19</w:t>
            </w:r>
            <w:r w:rsidR="007525D0" w:rsidRPr="008046A1">
              <w:rPr>
                <w:rFonts w:ascii="Garamond" w:hAnsi="Garamond"/>
                <w:sz w:val="24"/>
                <w:szCs w:val="24"/>
              </w:rPr>
              <w:t xml:space="preserve">:00 </w:t>
            </w:r>
          </w:p>
          <w:p w:rsidR="00140C7D" w:rsidRPr="008046A1" w:rsidRDefault="00586F8F" w:rsidP="00140C7D">
            <w:pPr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b w:val="0"/>
                <w:bCs w:val="0"/>
                <w:sz w:val="24"/>
                <w:szCs w:val="24"/>
              </w:rPr>
              <w:t>Keynote Lecture</w:t>
            </w:r>
            <w:r w:rsidR="00584447" w:rsidRPr="008046A1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</w:p>
          <w:p w:rsidR="00140C7D" w:rsidRPr="008E07F9" w:rsidRDefault="00140C7D" w:rsidP="00E05809">
            <w:pPr>
              <w:rPr>
                <w:rFonts w:ascii="Garamond" w:hAnsi="Garamond"/>
                <w:sz w:val="20"/>
                <w:szCs w:val="20"/>
              </w:rPr>
            </w:pPr>
          </w:p>
          <w:p w:rsidR="00E043CB" w:rsidRPr="008046A1" w:rsidRDefault="00844B99" w:rsidP="00E05DC9">
            <w:pPr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>19</w:t>
            </w:r>
            <w:r w:rsidR="00540925" w:rsidRPr="008046A1">
              <w:rPr>
                <w:rFonts w:ascii="Garamond" w:hAnsi="Garamond"/>
                <w:sz w:val="24"/>
                <w:szCs w:val="24"/>
              </w:rPr>
              <w:t>:00</w:t>
            </w:r>
            <w:r w:rsidR="002922D0" w:rsidRPr="008046A1">
              <w:rPr>
                <w:rFonts w:ascii="Garamond" w:hAnsi="Garamond"/>
                <w:sz w:val="24"/>
                <w:szCs w:val="24"/>
              </w:rPr>
              <w:t>–</w:t>
            </w:r>
            <w:r w:rsidRPr="008046A1">
              <w:rPr>
                <w:rFonts w:ascii="Garamond" w:hAnsi="Garamond"/>
                <w:sz w:val="24"/>
                <w:szCs w:val="24"/>
              </w:rPr>
              <w:t>20</w:t>
            </w:r>
            <w:r w:rsidR="00540925" w:rsidRPr="008046A1">
              <w:rPr>
                <w:rFonts w:ascii="Garamond" w:hAnsi="Garamond"/>
                <w:sz w:val="24"/>
                <w:szCs w:val="24"/>
              </w:rPr>
              <w:t xml:space="preserve">:00 </w:t>
            </w:r>
          </w:p>
        </w:tc>
        <w:tc>
          <w:tcPr>
            <w:tcW w:w="8038" w:type="dxa"/>
          </w:tcPr>
          <w:p w:rsidR="00170C9C" w:rsidRPr="00AD215D" w:rsidRDefault="00946500" w:rsidP="00170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mallCaps/>
                <w:color w:val="262626" w:themeColor="text1" w:themeTint="D9"/>
                <w:sz w:val="24"/>
                <w:szCs w:val="24"/>
              </w:rPr>
              <w:t xml:space="preserve">Workshop </w:t>
            </w:r>
            <w:r w:rsidR="00170C9C" w:rsidRPr="00AD215D">
              <w:rPr>
                <w:rFonts w:ascii="Garamond" w:hAnsi="Garamond"/>
                <w:b w:val="0"/>
                <w:bCs w:val="0"/>
                <w:smallCaps/>
                <w:color w:val="262626" w:themeColor="text1" w:themeTint="D9"/>
                <w:sz w:val="24"/>
                <w:szCs w:val="24"/>
              </w:rPr>
              <w:t>Registration</w:t>
            </w:r>
          </w:p>
          <w:p w:rsidR="00170C9C" w:rsidRDefault="00170C9C" w:rsidP="001C41E5">
            <w:pPr>
              <w:ind w:left="1736" w:hanging="17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:rsidR="00290685" w:rsidRPr="008046A1" w:rsidRDefault="007525D0" w:rsidP="001C41E5">
            <w:pPr>
              <w:ind w:left="1736" w:hanging="17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 xml:space="preserve">David Zakarian </w:t>
            </w:r>
            <w:r w:rsidR="00290685" w:rsidRPr="008046A1">
              <w:rPr>
                <w:rFonts w:ascii="Garamond" w:hAnsi="Garamond"/>
                <w:b w:val="0"/>
                <w:bCs w:val="0"/>
              </w:rPr>
              <w:t>(University of Oxford / British Academy)</w:t>
            </w:r>
          </w:p>
          <w:p w:rsidR="007525D0" w:rsidRPr="008046A1" w:rsidRDefault="00027937" w:rsidP="001C41E5">
            <w:pPr>
              <w:ind w:left="1736" w:hanging="17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 xml:space="preserve">Theo Maarten van Lint </w:t>
            </w:r>
            <w:r w:rsidRPr="008046A1">
              <w:rPr>
                <w:rFonts w:ascii="Garamond" w:hAnsi="Garamond"/>
                <w:b w:val="0"/>
                <w:bCs w:val="0"/>
              </w:rPr>
              <w:t>(University of Oxford)</w:t>
            </w:r>
          </w:p>
          <w:p w:rsidR="007525D0" w:rsidRPr="003763C0" w:rsidRDefault="007525D0" w:rsidP="00290685">
            <w:pPr>
              <w:ind w:left="1736" w:hanging="17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  <w:p w:rsidR="008046A1" w:rsidRDefault="00586F8F" w:rsidP="00290685">
            <w:pPr>
              <w:ind w:left="1739" w:hanging="173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 xml:space="preserve">Christina Maranci </w:t>
            </w:r>
            <w:r w:rsidR="00417945" w:rsidRPr="008046A1">
              <w:rPr>
                <w:rFonts w:ascii="Garamond" w:hAnsi="Garamond"/>
                <w:b w:val="0"/>
                <w:bCs w:val="0"/>
              </w:rPr>
              <w:t>(Tufts University)</w:t>
            </w:r>
            <w:r w:rsidR="00417945" w:rsidRPr="008046A1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</w:p>
          <w:p w:rsidR="00584447" w:rsidRPr="008E07F9" w:rsidRDefault="000B0D96" w:rsidP="00540925">
            <w:pPr>
              <w:ind w:left="1828" w:hanging="18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E07F9">
              <w:rPr>
                <w:rFonts w:ascii="Garamond" w:hAnsi="Garamond" w:cs="Arial"/>
                <w:b w:val="0"/>
                <w:bCs w:val="0"/>
                <w:sz w:val="24"/>
                <w:szCs w:val="24"/>
              </w:rPr>
              <w:t>Three Thought Experiments in Armenian and Byzantine Art</w:t>
            </w:r>
          </w:p>
          <w:p w:rsidR="008E07F9" w:rsidRPr="008E07F9" w:rsidRDefault="008E07F9" w:rsidP="00562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</w:p>
          <w:p w:rsidR="005E69DF" w:rsidRDefault="00540925" w:rsidP="00562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>Wine Reception</w:t>
            </w:r>
          </w:p>
          <w:p w:rsidR="00562F63" w:rsidRPr="00562F63" w:rsidRDefault="00562F63" w:rsidP="00562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10"/>
                <w:szCs w:val="10"/>
              </w:rPr>
            </w:pPr>
          </w:p>
        </w:tc>
      </w:tr>
    </w:tbl>
    <w:p w:rsidR="005E69DF" w:rsidRDefault="005E69DF" w:rsidP="005E69DF">
      <w:pPr>
        <w:pStyle w:val="Heading1"/>
        <w:tabs>
          <w:tab w:val="center" w:pos="4680"/>
          <w:tab w:val="left" w:pos="8111"/>
        </w:tabs>
        <w:spacing w:before="120" w:line="240" w:lineRule="auto"/>
        <w:rPr>
          <w:rFonts w:ascii="Garamond" w:hAnsi="Garamond"/>
        </w:rPr>
      </w:pPr>
      <w:r w:rsidRPr="00586F8F">
        <w:rPr>
          <w:rFonts w:ascii="Garamond" w:hAnsi="Garamond"/>
        </w:rPr>
        <w:t>2</w:t>
      </w:r>
      <w:r w:rsidR="006F111C">
        <w:rPr>
          <w:rFonts w:ascii="Garamond" w:hAnsi="Garamond"/>
        </w:rPr>
        <w:t>3</w:t>
      </w:r>
      <w:r w:rsidRPr="00586F8F">
        <w:rPr>
          <w:rFonts w:ascii="Garamond" w:hAnsi="Garamond"/>
        </w:rPr>
        <w:t xml:space="preserve"> march 2019</w:t>
      </w:r>
    </w:p>
    <w:p w:rsidR="00E801C4" w:rsidRPr="00586F8F" w:rsidRDefault="005E69DF" w:rsidP="005E69DF">
      <w:pPr>
        <w:pStyle w:val="Heading1"/>
        <w:tabs>
          <w:tab w:val="center" w:pos="4680"/>
          <w:tab w:val="left" w:pos="8111"/>
        </w:tabs>
        <w:spacing w:before="120" w:line="240" w:lineRule="auto"/>
        <w:rPr>
          <w:rFonts w:ascii="Garamond" w:hAnsi="Garamond"/>
        </w:rPr>
      </w:pPr>
      <w:r w:rsidRPr="007525D0">
        <w:rPr>
          <w:rFonts w:ascii="Garamond" w:hAnsi="Garamond"/>
          <w:sz w:val="20"/>
          <w:szCs w:val="20"/>
        </w:rPr>
        <w:t>Seminar Room, 3</w:t>
      </w:r>
      <w:r w:rsidRPr="007525D0">
        <w:rPr>
          <w:rFonts w:ascii="Garamond" w:hAnsi="Garamond"/>
          <w:sz w:val="20"/>
          <w:szCs w:val="20"/>
          <w:vertAlign w:val="superscript"/>
        </w:rPr>
        <w:t>rd</w:t>
      </w:r>
      <w:r w:rsidRPr="007525D0">
        <w:rPr>
          <w:rFonts w:ascii="Garamond" w:hAnsi="Garamond"/>
          <w:sz w:val="20"/>
          <w:szCs w:val="20"/>
        </w:rPr>
        <w:t xml:space="preserve"> floor</w:t>
      </w:r>
    </w:p>
    <w:tbl>
      <w:tblPr>
        <w:tblStyle w:val="GridTable2-Accent2"/>
        <w:tblW w:w="5301" w:type="pct"/>
        <w:tblInd w:w="-142" w:type="dxa"/>
        <w:tblLook w:val="04A0" w:firstRow="1" w:lastRow="0" w:firstColumn="1" w:lastColumn="0" w:noHBand="0" w:noVBand="1"/>
        <w:tblDescription w:val="Conference agenda information layout table #2"/>
      </w:tblPr>
      <w:tblGrid>
        <w:gridCol w:w="1518"/>
        <w:gridCol w:w="8045"/>
      </w:tblGrid>
      <w:tr w:rsidR="00093B54" w:rsidRPr="00562F63" w:rsidTr="008A4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D7CF9" w:rsidRPr="003763C0" w:rsidRDefault="00FD7CF9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10"/>
                <w:szCs w:val="10"/>
              </w:rPr>
            </w:pPr>
          </w:p>
          <w:p w:rsidR="009C3B34" w:rsidRDefault="009C3B34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5E69DF" w:rsidRPr="008A4338" w:rsidRDefault="005E69DF" w:rsidP="008A4338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9:00</w:t>
            </w:r>
            <w:r w:rsidR="00844B99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</w:t>
            </w:r>
            <w:r w:rsidR="00BF38C2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05</w:t>
            </w:r>
          </w:p>
        </w:tc>
        <w:tc>
          <w:tcPr>
            <w:tcW w:w="8363" w:type="dxa"/>
          </w:tcPr>
          <w:p w:rsidR="00FD7CF9" w:rsidRPr="00562F63" w:rsidRDefault="00FD7CF9" w:rsidP="00FD7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Opening Remarks</w:t>
            </w:r>
          </w:p>
          <w:p w:rsidR="00FD7CF9" w:rsidRPr="00562F63" w:rsidRDefault="00FD7CF9" w:rsidP="00093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262626" w:themeColor="text1" w:themeTint="D9"/>
                <w:sz w:val="10"/>
                <w:szCs w:val="10"/>
              </w:rPr>
            </w:pPr>
          </w:p>
          <w:p w:rsidR="00093B54" w:rsidRPr="008A4338" w:rsidRDefault="00562F63" w:rsidP="008A4338">
            <w:pPr>
              <w:ind w:left="1736" w:hanging="17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046A1">
              <w:rPr>
                <w:rFonts w:ascii="Garamond" w:hAnsi="Garamond"/>
                <w:sz w:val="24"/>
                <w:szCs w:val="24"/>
              </w:rPr>
              <w:t xml:space="preserve">David Zakarian </w:t>
            </w:r>
            <w:r w:rsidRPr="008046A1">
              <w:rPr>
                <w:rFonts w:ascii="Garamond" w:hAnsi="Garamond"/>
                <w:b w:val="0"/>
                <w:bCs w:val="0"/>
              </w:rPr>
              <w:t>(University of Oxford / British Academy)</w:t>
            </w:r>
          </w:p>
          <w:p w:rsidR="005E69DF" w:rsidRPr="00562F63" w:rsidRDefault="005E69DF" w:rsidP="00093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10"/>
                <w:szCs w:val="10"/>
              </w:rPr>
            </w:pPr>
          </w:p>
        </w:tc>
      </w:tr>
      <w:tr w:rsidR="00844B99" w:rsidRPr="00562F63" w:rsidTr="0004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A2FE3" w:rsidRPr="00562F63" w:rsidRDefault="00FA2FE3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844B99" w:rsidRPr="003763C0" w:rsidRDefault="00844B99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FD7CF9" w:rsidRPr="003763C0" w:rsidRDefault="00FD7CF9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  <w:p w:rsidR="00093B54" w:rsidRPr="00562F63" w:rsidRDefault="002922D0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</w:t>
            </w:r>
            <w:r w:rsidR="00FA2FE3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25</w:t>
            </w:r>
          </w:p>
          <w:p w:rsidR="00FA2FE3" w:rsidRPr="00562F63" w:rsidRDefault="00FA2FE3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FA2FE3" w:rsidRPr="00562F63" w:rsidRDefault="00FA2FE3" w:rsidP="00FA2FE3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25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–9: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40</w:t>
            </w:r>
          </w:p>
          <w:p w:rsidR="00844B99" w:rsidRPr="00562F63" w:rsidRDefault="00844B99" w:rsidP="00FA2FE3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844B99" w:rsidRPr="00562F63" w:rsidRDefault="00844B99" w:rsidP="00FA2FE3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FA2FE3" w:rsidRPr="00562F63" w:rsidRDefault="00844B99" w:rsidP="00093B54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9: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–10: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05</w:t>
            </w:r>
          </w:p>
          <w:p w:rsidR="00FA2FE3" w:rsidRPr="00562F63" w:rsidRDefault="00FA2FE3" w:rsidP="00093B54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2FE3" w:rsidRPr="00562F63" w:rsidRDefault="00946500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</w:pP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Session I:</w:t>
            </w:r>
            <w:r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r w:rsidR="00FA2FE3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>Linguistics &amp; Literary Studies</w:t>
            </w:r>
          </w:p>
          <w:p w:rsidR="00FA2FE3" w:rsidRPr="00562F63" w:rsidRDefault="00FD7CF9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Chair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Emilio Bonfiglio </w:t>
            </w:r>
            <w:r w:rsidRPr="00562F63">
              <w:rPr>
                <w:rFonts w:ascii="Garamond" w:hAnsi="Garamond"/>
                <w:color w:val="262626" w:themeColor="text1" w:themeTint="D9"/>
              </w:rPr>
              <w:t>(University of Vienna)</w:t>
            </w:r>
          </w:p>
          <w:p w:rsidR="00FD7CF9" w:rsidRPr="003763C0" w:rsidRDefault="00FD7CF9" w:rsidP="00FD7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0"/>
                <w:szCs w:val="20"/>
              </w:rPr>
            </w:pPr>
          </w:p>
          <w:p w:rsidR="00FA2FE3" w:rsidRPr="00562F63" w:rsidRDefault="00FA2FE3" w:rsidP="00FA2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>Robin Meyer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562F63">
              <w:rPr>
                <w:rFonts w:ascii="Garamond" w:hAnsi="Garamond"/>
                <w:color w:val="262626" w:themeColor="text1" w:themeTint="D9"/>
              </w:rPr>
              <w:t>(University of Oxford)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093B54" w:rsidRPr="00562F63" w:rsidRDefault="00FA2FE3" w:rsidP="00FA2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An Uncomfortable Compromise: Armenian and the τέχνη γραμματική</w:t>
            </w:r>
          </w:p>
          <w:p w:rsidR="004908C5" w:rsidRPr="00562F63" w:rsidRDefault="00FA2FE3" w:rsidP="00FA2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 xml:space="preserve">Federico Alpi </w:t>
            </w:r>
            <w:r w:rsidRPr="00562F63">
              <w:rPr>
                <w:rFonts w:ascii="Garamond" w:hAnsi="Garamond"/>
                <w:color w:val="262626" w:themeColor="text1" w:themeTint="D9"/>
              </w:rPr>
              <w:t>(Fondazione per le scienze religiose Giovanni XXIII, Bologna)</w:t>
            </w:r>
          </w:p>
          <w:p w:rsidR="00FA2FE3" w:rsidRPr="00562F63" w:rsidRDefault="00FA2FE3" w:rsidP="00FA2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New Skin for the Old Ceremony: The Use of Byzantine Epistolary Models in the Letters of Grigor Magistros Pahlawowni (990-1058)</w:t>
            </w:r>
          </w:p>
          <w:p w:rsidR="004908C5" w:rsidRPr="00562F63" w:rsidRDefault="00844B99" w:rsidP="00E969E7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Dmitry Biriukov </w:t>
            </w:r>
            <w:r w:rsidRPr="00562F63">
              <w:rPr>
                <w:rFonts w:ascii="Garamond" w:hAnsi="Garamond"/>
                <w:b w:val="0"/>
                <w:bCs/>
                <w:color w:val="262626" w:themeColor="text1" w:themeTint="D9"/>
              </w:rPr>
              <w:t>(National Research University Higher School of Economics, Moscow)</w:t>
            </w:r>
          </w:p>
          <w:p w:rsidR="00844B99" w:rsidRPr="00562F63" w:rsidRDefault="00844B99" w:rsidP="00E969E7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  <w:t>The Theory of Universals in David the Invincible and Ammonius’ Philosophical School</w:t>
            </w:r>
          </w:p>
          <w:p w:rsidR="006720A6" w:rsidRPr="00254027" w:rsidRDefault="006720A6" w:rsidP="00E969E7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10"/>
                <w:szCs w:val="10"/>
              </w:rPr>
            </w:pPr>
          </w:p>
        </w:tc>
      </w:tr>
      <w:tr w:rsidR="00844B99" w:rsidRPr="00562F63" w:rsidTr="0004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93B54" w:rsidRPr="00562F63" w:rsidRDefault="00844B99" w:rsidP="0029381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10: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–10: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15</w:t>
            </w:r>
          </w:p>
          <w:p w:rsidR="00664014" w:rsidRPr="00562F63" w:rsidRDefault="00664014" w:rsidP="00293816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10: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–10:</w:t>
            </w:r>
            <w:r w:rsidR="004D5B68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093B54" w:rsidRPr="00562F63" w:rsidRDefault="00664014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Respondent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</w:t>
            </w: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>Theo Maarten van Lint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562F63">
              <w:rPr>
                <w:rFonts w:ascii="Garamond" w:hAnsi="Garamond"/>
                <w:color w:val="262626" w:themeColor="text1" w:themeTint="D9"/>
              </w:rPr>
              <w:t>(University of Oxford)</w:t>
            </w:r>
          </w:p>
          <w:p w:rsidR="00664014" w:rsidRPr="00562F63" w:rsidRDefault="00664014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Discussion</w:t>
            </w:r>
          </w:p>
          <w:p w:rsidR="00664014" w:rsidRPr="00562F63" w:rsidRDefault="00664014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10"/>
                <w:szCs w:val="10"/>
              </w:rPr>
            </w:pPr>
          </w:p>
          <w:p w:rsidR="00664014" w:rsidRPr="00562F63" w:rsidRDefault="00664014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Coffee Break</w:t>
            </w:r>
          </w:p>
          <w:p w:rsidR="00664014" w:rsidRPr="00562F63" w:rsidRDefault="00664014" w:rsidP="0029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color w:val="262626" w:themeColor="text1" w:themeTint="D9"/>
                <w:sz w:val="10"/>
                <w:szCs w:val="10"/>
              </w:rPr>
            </w:pPr>
          </w:p>
        </w:tc>
      </w:tr>
      <w:tr w:rsidR="006720A6" w:rsidRPr="00562F63" w:rsidTr="0004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20A6" w:rsidRPr="00562F63" w:rsidRDefault="006720A6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6720A6" w:rsidRPr="00562F63" w:rsidRDefault="006720A6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6720A6" w:rsidRPr="003763C0" w:rsidRDefault="006720A6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6720A6" w:rsidRPr="00562F63" w:rsidRDefault="006720A6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11:00–11:20</w:t>
            </w:r>
          </w:p>
          <w:p w:rsidR="006720A6" w:rsidRPr="00562F63" w:rsidRDefault="006720A6" w:rsidP="006720A6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  <w:p w:rsidR="006720A6" w:rsidRPr="00562F63" w:rsidRDefault="006720A6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6720A6" w:rsidRPr="00562F63" w:rsidRDefault="006720A6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11:20–</w:t>
            </w:r>
            <w:r w:rsidR="009A00AC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11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9A00AC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6720A6" w:rsidRPr="00562F63" w:rsidRDefault="006720A6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6720A6" w:rsidRPr="00562F63" w:rsidRDefault="00D10478" w:rsidP="006720A6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11</w:t>
            </w:r>
            <w:r w:rsidR="006720A6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="006720A6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2</w:t>
            </w:r>
            <w:r w:rsidR="006720A6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  <w:r w:rsidR="006720A6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6720A6" w:rsidRPr="00562F63" w:rsidRDefault="006720A6" w:rsidP="006720A6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3" w:type="dxa"/>
          </w:tcPr>
          <w:p w:rsidR="006720A6" w:rsidRPr="00562F63" w:rsidRDefault="00946500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</w:pP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 xml:space="preserve">Session 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I</w:t>
            </w: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I: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r w:rsidR="006720A6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>Art History</w:t>
            </w:r>
          </w:p>
          <w:p w:rsidR="006720A6" w:rsidRPr="00562F63" w:rsidRDefault="006720A6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Chair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David Zakarian </w:t>
            </w:r>
            <w:r w:rsidRPr="00D22DE0">
              <w:rPr>
                <w:rFonts w:ascii="Garamond" w:hAnsi="Garamond"/>
                <w:color w:val="262626" w:themeColor="text1" w:themeTint="D9"/>
              </w:rPr>
              <w:t>(University of Oxford / British Academy)</w:t>
            </w:r>
          </w:p>
          <w:p w:rsidR="006720A6" w:rsidRPr="003763C0" w:rsidRDefault="006720A6" w:rsidP="00672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0"/>
                <w:szCs w:val="20"/>
              </w:rPr>
            </w:pPr>
          </w:p>
          <w:p w:rsidR="006720A6" w:rsidRPr="00562F63" w:rsidRDefault="006720A6" w:rsidP="0067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>Gohar Grigoryan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D22DE0">
              <w:rPr>
                <w:rFonts w:ascii="Garamond" w:hAnsi="Garamond"/>
                <w:color w:val="262626" w:themeColor="text1" w:themeTint="D9"/>
              </w:rPr>
              <w:t xml:space="preserve">(University of </w:t>
            </w:r>
            <w:r w:rsidRPr="00D22DE0">
              <w:rPr>
                <w:rFonts w:ascii="Garamond" w:hAnsi="Garamond"/>
                <w:color w:val="262626" w:themeColor="text1" w:themeTint="D9"/>
                <w:lang w:val="en-GB"/>
              </w:rPr>
              <w:t>Fribourg</w:t>
            </w:r>
            <w:r w:rsidRPr="00D22DE0">
              <w:rPr>
                <w:rFonts w:ascii="Garamond" w:hAnsi="Garamond"/>
                <w:color w:val="262626" w:themeColor="text1" w:themeTint="D9"/>
              </w:rPr>
              <w:t>)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6720A6" w:rsidRPr="00562F63" w:rsidRDefault="006720A6" w:rsidP="0067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en-GB"/>
              </w:rPr>
              <w:t>With or against Byzantium? Art Historiographical and Methodological Problems in Early Studies on Armenian Miniature Painting</w:t>
            </w:r>
          </w:p>
          <w:p w:rsidR="006720A6" w:rsidRPr="00562F63" w:rsidRDefault="009A00AC" w:rsidP="009A0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>Satenik Chookaszian</w:t>
            </w:r>
            <w:r w:rsidR="006720A6"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6720A6" w:rsidRPr="00CF58F6">
              <w:rPr>
                <w:rFonts w:ascii="Garamond" w:hAnsi="Garamond"/>
                <w:color w:val="262626" w:themeColor="text1" w:themeTint="D9"/>
              </w:rPr>
              <w:t>(</w:t>
            </w:r>
            <w:r w:rsidRPr="00CF58F6">
              <w:rPr>
                <w:rFonts w:ascii="Garamond" w:hAnsi="Garamond"/>
                <w:color w:val="262626" w:themeColor="text1" w:themeTint="D9"/>
              </w:rPr>
              <w:t>Yerevan State University</w:t>
            </w:r>
            <w:r w:rsidR="006720A6" w:rsidRPr="00CF58F6">
              <w:rPr>
                <w:rFonts w:ascii="Garamond" w:hAnsi="Garamond"/>
                <w:color w:val="262626" w:themeColor="text1" w:themeTint="D9"/>
              </w:rPr>
              <w:t>)</w:t>
            </w:r>
          </w:p>
          <w:p w:rsidR="006720A6" w:rsidRPr="00562F63" w:rsidRDefault="009A00AC" w:rsidP="0067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Cilician Book Illumination between Byzantium and Crusaders</w:t>
            </w:r>
          </w:p>
          <w:p w:rsidR="006720A6" w:rsidRPr="00562F63" w:rsidRDefault="00D10478" w:rsidP="00D10478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en-GB"/>
              </w:rPr>
              <w:t>Marco Ruffilli</w:t>
            </w:r>
            <w:r w:rsidR="006720A6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CF58F6">
              <w:rPr>
                <w:rFonts w:ascii="Garamond" w:hAnsi="Garamond"/>
                <w:b w:val="0"/>
                <w:bCs/>
                <w:color w:val="262626" w:themeColor="text1" w:themeTint="D9"/>
              </w:rPr>
              <w:t>(University of Geneva</w:t>
            </w:r>
            <w:r w:rsidR="006720A6" w:rsidRPr="00CF58F6">
              <w:rPr>
                <w:rFonts w:ascii="Garamond" w:hAnsi="Garamond"/>
                <w:b w:val="0"/>
                <w:bCs/>
                <w:color w:val="262626" w:themeColor="text1" w:themeTint="D9"/>
              </w:rPr>
              <w:t>)</w:t>
            </w:r>
          </w:p>
          <w:p w:rsidR="006720A6" w:rsidRDefault="00D10478" w:rsidP="00946500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  <w:t>Prince Ašot II Bagratuni’s Byzantine Icon</w:t>
            </w:r>
          </w:p>
          <w:p w:rsidR="00D87EC8" w:rsidRPr="00983B66" w:rsidRDefault="00D87EC8" w:rsidP="00946500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10"/>
                <w:szCs w:val="10"/>
              </w:rPr>
            </w:pPr>
          </w:p>
        </w:tc>
      </w:tr>
      <w:tr w:rsidR="00B94EED" w:rsidRPr="00562F63" w:rsidTr="0004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94EED" w:rsidRPr="00562F63" w:rsidRDefault="00B94EED" w:rsidP="00B94EE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12:00–12:20</w:t>
            </w:r>
          </w:p>
          <w:p w:rsidR="00B94EED" w:rsidRPr="00562F63" w:rsidRDefault="00B94EED" w:rsidP="00B94EED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416B52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2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:20–1</w:t>
            </w:r>
            <w:r w:rsidR="00416B52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2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:40</w:t>
            </w:r>
          </w:p>
        </w:tc>
        <w:tc>
          <w:tcPr>
            <w:tcW w:w="8363" w:type="dxa"/>
          </w:tcPr>
          <w:p w:rsidR="00B94EED" w:rsidRPr="00562F63" w:rsidRDefault="00B94EED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Respondent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</w:t>
            </w: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>Georgi Parpulov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983B66">
              <w:rPr>
                <w:rFonts w:ascii="Garamond" w:hAnsi="Garamond"/>
                <w:color w:val="262626" w:themeColor="text1" w:themeTint="D9"/>
              </w:rPr>
              <w:t>(University of Birmingham)</w:t>
            </w:r>
          </w:p>
          <w:p w:rsidR="00B94EED" w:rsidRPr="00562F63" w:rsidRDefault="00B94EED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Discussion</w:t>
            </w:r>
          </w:p>
          <w:p w:rsidR="00B94EED" w:rsidRPr="00562F63" w:rsidRDefault="00B94EED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  <w:p w:rsidR="00D87EC8" w:rsidRDefault="00D87EC8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</w:pPr>
          </w:p>
          <w:p w:rsidR="008A4338" w:rsidRDefault="008A4338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</w:pPr>
          </w:p>
          <w:p w:rsidR="00B94EED" w:rsidRPr="00562F63" w:rsidRDefault="00416B52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Lunch</w:t>
            </w:r>
            <w:r w:rsidR="00B94EED" w:rsidRPr="00562F63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 xml:space="preserve"> Break</w:t>
            </w:r>
          </w:p>
          <w:p w:rsidR="00B94EED" w:rsidRPr="00562F63" w:rsidRDefault="00B94EED" w:rsidP="00B94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0409FD" w:rsidRPr="00562F63" w:rsidTr="0004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409FD" w:rsidRPr="00562F63" w:rsidRDefault="000409FD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0409FD" w:rsidRPr="00562F63" w:rsidRDefault="000409FD" w:rsidP="00946500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0409FD" w:rsidRPr="00E51A82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  <w:p w:rsidR="000409FD" w:rsidRPr="00562F63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A14785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:00–1</w:t>
            </w:r>
            <w:r w:rsidR="00A14785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:20</w:t>
            </w:r>
          </w:p>
          <w:p w:rsidR="000409FD" w:rsidRPr="00562F63" w:rsidRDefault="000409FD" w:rsidP="000409FD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  <w:p w:rsidR="000409FD" w:rsidRPr="00562F63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0409FD" w:rsidRPr="00562F63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A5184C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:20–1</w:t>
            </w:r>
            <w:r w:rsidR="00A5184C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:40</w:t>
            </w:r>
          </w:p>
          <w:p w:rsidR="000409FD" w:rsidRPr="00562F63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0409FD" w:rsidRPr="00562F63" w:rsidRDefault="000409FD" w:rsidP="000409FD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A41B2F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:40–1</w:t>
            </w:r>
            <w:r w:rsidR="00A41B2F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:00</w:t>
            </w:r>
          </w:p>
          <w:p w:rsidR="000409FD" w:rsidRPr="00562F63" w:rsidRDefault="000409FD" w:rsidP="000409FD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3" w:type="dxa"/>
          </w:tcPr>
          <w:p w:rsidR="000409FD" w:rsidRPr="00562F63" w:rsidRDefault="00946500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</w:pP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Session I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II</w:t>
            </w: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r w:rsidR="000409FD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>History</w:t>
            </w:r>
          </w:p>
          <w:p w:rsidR="000409FD" w:rsidRPr="00562F63" w:rsidRDefault="000409FD" w:rsidP="0094650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Chair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Theo Maarten van Lint </w:t>
            </w:r>
            <w:r w:rsidRPr="0068255A">
              <w:rPr>
                <w:rFonts w:ascii="Garamond" w:hAnsi="Garamond"/>
                <w:color w:val="262626" w:themeColor="text1" w:themeTint="D9"/>
              </w:rPr>
              <w:t>(University of Oxford)</w:t>
            </w:r>
          </w:p>
          <w:p w:rsidR="000409FD" w:rsidRPr="00E51A82" w:rsidRDefault="000409FD" w:rsidP="00040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0"/>
                <w:szCs w:val="20"/>
              </w:rPr>
            </w:pPr>
          </w:p>
          <w:p w:rsidR="000409FD" w:rsidRPr="00562F63" w:rsidRDefault="00A14785" w:rsidP="00040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 xml:space="preserve">Nicholas </w:t>
            </w:r>
            <w:r w:rsidR="004A1865"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 xml:space="preserve">S. M. </w:t>
            </w: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>Matheou</w:t>
            </w:r>
            <w:r w:rsidR="000409FD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="000409FD" w:rsidRPr="00FB507B">
              <w:rPr>
                <w:rFonts w:ascii="Garamond" w:hAnsi="Garamond"/>
                <w:color w:val="262626" w:themeColor="text1" w:themeTint="D9"/>
              </w:rPr>
              <w:t>(</w:t>
            </w:r>
            <w:r w:rsidR="00A5184C" w:rsidRPr="00FB507B">
              <w:rPr>
                <w:rFonts w:ascii="Garamond" w:hAnsi="Garamond"/>
                <w:color w:val="262626" w:themeColor="text1" w:themeTint="D9"/>
              </w:rPr>
              <w:t>Institute for Historical Research, University of London</w:t>
            </w:r>
            <w:r w:rsidR="000409FD" w:rsidRPr="00FB507B">
              <w:rPr>
                <w:rFonts w:ascii="Garamond" w:hAnsi="Garamond"/>
                <w:color w:val="262626" w:themeColor="text1" w:themeTint="D9"/>
              </w:rPr>
              <w:t>)</w:t>
            </w:r>
            <w:r w:rsidR="000409FD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0409FD" w:rsidRPr="00562F63" w:rsidRDefault="00A5184C" w:rsidP="00040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en-GB"/>
              </w:rPr>
              <w:t>‘Like those of Jerusalem who didn’t consider themselves Israelites’: Political Economy, Elitedom and Ethnicity in Royal and Imperial Ani, c.950-1064</w:t>
            </w:r>
          </w:p>
          <w:p w:rsidR="000409FD" w:rsidRPr="00562F63" w:rsidRDefault="004A1865" w:rsidP="00040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 xml:space="preserve">David Linus Emanuel Neagu </w:t>
            </w:r>
            <w:r w:rsidR="000409FD" w:rsidRPr="00FB507B">
              <w:rPr>
                <w:rFonts w:ascii="Garamond" w:hAnsi="Garamond"/>
                <w:color w:val="262626" w:themeColor="text1" w:themeTint="D9"/>
              </w:rPr>
              <w:t>(University</w:t>
            </w:r>
            <w:r w:rsidRPr="00FB507B">
              <w:rPr>
                <w:rFonts w:ascii="Garamond" w:hAnsi="Garamond"/>
                <w:color w:val="262626" w:themeColor="text1" w:themeTint="D9"/>
              </w:rPr>
              <w:t xml:space="preserve"> of Bucharest</w:t>
            </w:r>
            <w:r w:rsidR="000409FD" w:rsidRPr="00FB507B">
              <w:rPr>
                <w:rFonts w:ascii="Garamond" w:hAnsi="Garamond"/>
                <w:color w:val="262626" w:themeColor="text1" w:themeTint="D9"/>
              </w:rPr>
              <w:t>)</w:t>
            </w:r>
          </w:p>
          <w:p w:rsidR="000409FD" w:rsidRPr="00562F63" w:rsidRDefault="008027A5" w:rsidP="00040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‘</w:t>
            </w:r>
            <w:r w:rsidR="004A1865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King of all the Armenians</w:t>
            </w:r>
            <w:r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’</w:t>
            </w:r>
            <w:r w:rsidR="004A1865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 The usage of This Title by the Armenian Kings of Cilicia</w:t>
            </w:r>
          </w:p>
          <w:p w:rsidR="000409FD" w:rsidRPr="00562F63" w:rsidRDefault="00A41B2F" w:rsidP="000409FD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en-GB"/>
              </w:rPr>
              <w:t>Heiko Conrad</w:t>
            </w:r>
            <w:r w:rsidR="000409FD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="000409FD" w:rsidRPr="00FB507B">
              <w:rPr>
                <w:rFonts w:ascii="Garamond" w:hAnsi="Garamond"/>
                <w:b w:val="0"/>
                <w:bCs/>
                <w:color w:val="262626" w:themeColor="text1" w:themeTint="D9"/>
              </w:rPr>
              <w:t>(</w:t>
            </w:r>
            <w:r w:rsidRPr="00FB507B">
              <w:rPr>
                <w:rFonts w:ascii="Garamond" w:hAnsi="Garamond"/>
                <w:b w:val="0"/>
                <w:bCs/>
                <w:color w:val="262626" w:themeColor="text1" w:themeTint="D9"/>
              </w:rPr>
              <w:t>Goethe University, Frankfurt am Main</w:t>
            </w:r>
            <w:r w:rsidR="000409FD" w:rsidRPr="00FB507B">
              <w:rPr>
                <w:rFonts w:ascii="Garamond" w:hAnsi="Garamond"/>
                <w:b w:val="0"/>
                <w:bCs/>
                <w:color w:val="262626" w:themeColor="text1" w:themeTint="D9"/>
              </w:rPr>
              <w:t>)</w:t>
            </w:r>
          </w:p>
          <w:p w:rsidR="000409FD" w:rsidRPr="00562F63" w:rsidRDefault="00A41B2F" w:rsidP="000409FD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  <w:t>The Remarks Concerning Byzantium in the ‘History of the Armenians’ of Kirakos Ganjakec‘i (13</w:t>
            </w:r>
            <w:r w:rsidRPr="00FB507B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  <w:vertAlign w:val="superscript"/>
              </w:rPr>
              <w:t>th</w:t>
            </w:r>
            <w:r w:rsidR="00FB507B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562F63"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  <w:t>century)</w:t>
            </w:r>
          </w:p>
          <w:p w:rsidR="000409FD" w:rsidRPr="006144E8" w:rsidRDefault="000409FD" w:rsidP="000409FD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10"/>
                <w:szCs w:val="10"/>
              </w:rPr>
            </w:pPr>
          </w:p>
        </w:tc>
      </w:tr>
      <w:tr w:rsidR="002454DE" w:rsidRPr="00562F63" w:rsidTr="0004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454DE" w:rsidRPr="00562F63" w:rsidRDefault="002454DE" w:rsidP="002454DE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15:00–15:10</w:t>
            </w:r>
          </w:p>
          <w:p w:rsidR="002454DE" w:rsidRPr="00562F63" w:rsidRDefault="002454DE" w:rsidP="002454DE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15:10–15:30</w:t>
            </w:r>
          </w:p>
        </w:tc>
        <w:tc>
          <w:tcPr>
            <w:tcW w:w="8363" w:type="dxa"/>
          </w:tcPr>
          <w:p w:rsidR="002454DE" w:rsidRPr="00562F63" w:rsidRDefault="002454DE" w:rsidP="00245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Respondent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</w:t>
            </w: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  <w:t>Emilio Bonfiglio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6144E8">
              <w:rPr>
                <w:rFonts w:ascii="Garamond" w:hAnsi="Garamond"/>
                <w:color w:val="262626" w:themeColor="text1" w:themeTint="D9"/>
              </w:rPr>
              <w:t>(University of Vienna)</w:t>
            </w:r>
          </w:p>
          <w:p w:rsidR="002454DE" w:rsidRPr="00562F63" w:rsidRDefault="002454DE" w:rsidP="00245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Discussion</w:t>
            </w:r>
          </w:p>
          <w:p w:rsidR="002454DE" w:rsidRPr="004F369F" w:rsidRDefault="002454DE" w:rsidP="00245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10"/>
                <w:szCs w:val="10"/>
              </w:rPr>
            </w:pPr>
          </w:p>
          <w:p w:rsidR="009F4F2C" w:rsidRPr="00562F63" w:rsidRDefault="009F4F2C" w:rsidP="009F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Coffee Break</w:t>
            </w:r>
          </w:p>
          <w:p w:rsidR="002454DE" w:rsidRPr="004F369F" w:rsidRDefault="002454DE" w:rsidP="00245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color w:val="262626" w:themeColor="text1" w:themeTint="D9"/>
                <w:sz w:val="10"/>
                <w:szCs w:val="10"/>
              </w:rPr>
            </w:pPr>
          </w:p>
        </w:tc>
      </w:tr>
      <w:tr w:rsidR="00CE359F" w:rsidRPr="00562F63" w:rsidTr="0004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E359F" w:rsidRPr="00562F63" w:rsidRDefault="00CE359F" w:rsidP="00952DEC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CE359F" w:rsidRPr="00562F63" w:rsidRDefault="00CE359F" w:rsidP="00952DEC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CE359F" w:rsidRPr="00E51A82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  <w:p w:rsidR="00CE359F" w:rsidRPr="00562F63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5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CE359F" w:rsidRPr="00562F63" w:rsidRDefault="00CE359F" w:rsidP="00CE359F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  <w:p w:rsidR="00CE359F" w:rsidRPr="00562F63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CE359F" w:rsidRPr="00562F63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7D0994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3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CE359F" w:rsidRPr="00562F63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CE359F" w:rsidRPr="00562F63" w:rsidRDefault="00CE359F" w:rsidP="00216C58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3" w:type="dxa"/>
          </w:tcPr>
          <w:p w:rsidR="00CE359F" w:rsidRPr="00562F63" w:rsidRDefault="00952DEC" w:rsidP="00952D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</w:pP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Session I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V</w:t>
            </w:r>
            <w:r w:rsidRPr="00946500"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Garamond" w:hAnsi="Garamond"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r w:rsidR="00465C6C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>Architecture &amp; Archaeology</w:t>
            </w:r>
          </w:p>
          <w:p w:rsidR="00CE359F" w:rsidRPr="00562F63" w:rsidRDefault="00CE359F" w:rsidP="00952D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Chair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: </w:t>
            </w:r>
            <w:r w:rsidR="00465C6C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Marina Bazzani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4F369F">
              <w:rPr>
                <w:rFonts w:ascii="Garamond" w:hAnsi="Garamond"/>
                <w:color w:val="262626" w:themeColor="text1" w:themeTint="D9"/>
              </w:rPr>
              <w:t>(University of Oxford)</w:t>
            </w:r>
          </w:p>
          <w:p w:rsidR="00CE359F" w:rsidRPr="00E51A82" w:rsidRDefault="00CE359F" w:rsidP="00CE3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0"/>
                <w:szCs w:val="20"/>
              </w:rPr>
            </w:pPr>
          </w:p>
          <w:p w:rsidR="00CE359F" w:rsidRPr="00562F63" w:rsidRDefault="007D0994" w:rsidP="00CE3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fr-FR"/>
              </w:rPr>
              <w:t xml:space="preserve">Sipana Tchakerian </w:t>
            </w:r>
            <w:r w:rsidR="00CE359F" w:rsidRPr="00A86EB2">
              <w:rPr>
                <w:rFonts w:ascii="Garamond" w:hAnsi="Garamond"/>
                <w:color w:val="262626" w:themeColor="text1" w:themeTint="D9"/>
                <w:lang w:val="fr-FR"/>
              </w:rPr>
              <w:t>(</w:t>
            </w:r>
            <w:r w:rsidR="00216C58" w:rsidRPr="00A86EB2">
              <w:rPr>
                <w:rFonts w:ascii="Garamond" w:hAnsi="Garamond"/>
                <w:color w:val="262626" w:themeColor="text1" w:themeTint="D9"/>
                <w:lang w:val="fr-FR"/>
              </w:rPr>
              <w:t>Université Paris 1 – Panthéon Sorbonne / Labex RESMED / Université Aix-Marseille</w:t>
            </w:r>
            <w:r w:rsidR="00CE359F" w:rsidRPr="00A86EB2">
              <w:rPr>
                <w:rFonts w:ascii="Garamond" w:hAnsi="Garamond"/>
                <w:color w:val="262626" w:themeColor="text1" w:themeTint="D9"/>
                <w:lang w:val="fr-FR"/>
              </w:rPr>
              <w:t xml:space="preserve">) </w:t>
            </w:r>
          </w:p>
          <w:p w:rsidR="00CE359F" w:rsidRPr="00562F63" w:rsidRDefault="007D0994" w:rsidP="00CE3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en-GB"/>
              </w:rPr>
              <w:t>Elevating the Cross in Byzantium and Armenia: From Symbolism to Architecture</w:t>
            </w:r>
          </w:p>
          <w:p w:rsidR="00CE359F" w:rsidRPr="00562F63" w:rsidRDefault="007D0994" w:rsidP="00CE3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>Hasmik Hovhannisyan</w:t>
            </w:r>
            <w:r w:rsidR="00CE359F"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en-GB"/>
              </w:rPr>
              <w:t xml:space="preserve"> </w:t>
            </w:r>
            <w:r w:rsidR="00CE359F" w:rsidRPr="00A86EB2">
              <w:rPr>
                <w:rFonts w:ascii="Garamond" w:hAnsi="Garamond"/>
                <w:color w:val="262626" w:themeColor="text1" w:themeTint="D9"/>
              </w:rPr>
              <w:t>(</w:t>
            </w:r>
            <w:r w:rsidR="00A86EB2" w:rsidRPr="00A86EB2">
              <w:rPr>
                <w:rFonts w:ascii="Garamond" w:hAnsi="Garamond"/>
                <w:color w:val="262626" w:themeColor="text1" w:themeTint="D9"/>
              </w:rPr>
              <w:t>History Museum of Armenia</w:t>
            </w:r>
            <w:r w:rsidR="00CE359F" w:rsidRPr="00A86EB2">
              <w:rPr>
                <w:rFonts w:ascii="Garamond" w:hAnsi="Garamond"/>
                <w:color w:val="262626" w:themeColor="text1" w:themeTint="D9"/>
              </w:rPr>
              <w:t>)</w:t>
            </w:r>
          </w:p>
          <w:p w:rsidR="00CE359F" w:rsidRPr="00562F63" w:rsidRDefault="007D0994" w:rsidP="00CE359F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 w:val="0"/>
                <w:color w:val="262626" w:themeColor="text1" w:themeTint="D9"/>
                <w:sz w:val="24"/>
                <w:szCs w:val="24"/>
              </w:rPr>
              <w:t xml:space="preserve">An Overview of Byzantine Coins Found in Armenia: Reflections on New Data </w:t>
            </w:r>
          </w:p>
        </w:tc>
      </w:tr>
      <w:tr w:rsidR="00CE359F" w:rsidRPr="00562F63" w:rsidTr="0004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E359F" w:rsidRPr="00562F63" w:rsidRDefault="00CE359F" w:rsidP="00CE359F">
            <w:pPr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3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CE359F" w:rsidRPr="00562F63" w:rsidRDefault="00CE359F" w:rsidP="00CE359F">
            <w:pPr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6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4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7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CE359F" w:rsidRPr="00562F63" w:rsidRDefault="00CE359F" w:rsidP="00CE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  <w:lang w:val="fr-FR"/>
              </w:rPr>
              <w:t>Respondent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  <w:t xml:space="preserve">: </w:t>
            </w:r>
            <w:r w:rsidR="0004594E" w:rsidRPr="00562F63"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  <w:lang w:val="fr-FR"/>
              </w:rPr>
              <w:t>Christina Maranci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  <w:t xml:space="preserve"> (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  <w:t>Tufts University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  <w:lang w:val="fr-FR"/>
              </w:rPr>
              <w:t>)</w:t>
            </w:r>
          </w:p>
          <w:p w:rsidR="00CE359F" w:rsidRPr="00562F63" w:rsidRDefault="00CE359F" w:rsidP="00CE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Discussion</w:t>
            </w:r>
          </w:p>
          <w:p w:rsidR="00CE359F" w:rsidRPr="003763C0" w:rsidRDefault="00CE359F" w:rsidP="0004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color w:val="262626" w:themeColor="text1" w:themeTint="D9"/>
                <w:sz w:val="10"/>
                <w:szCs w:val="10"/>
              </w:rPr>
            </w:pPr>
          </w:p>
        </w:tc>
      </w:tr>
      <w:tr w:rsidR="0004594E" w:rsidRPr="00562F63" w:rsidTr="0004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4594E" w:rsidRPr="00562F63" w:rsidRDefault="0004594E" w:rsidP="00401FB3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401FB3" w:rsidRPr="00562F63" w:rsidRDefault="00401FB3" w:rsidP="00401FB3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</w:p>
          <w:p w:rsidR="0004594E" w:rsidRPr="00562F63" w:rsidRDefault="0004594E" w:rsidP="00401FB3">
            <w:pPr>
              <w:spacing w:line="276" w:lineRule="auto"/>
              <w:rPr>
                <w:rFonts w:ascii="Garamond" w:hAnsi="Garamond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1</w:t>
            </w:r>
            <w:r w:rsidR="00401FB3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7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401FB3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0–1</w:t>
            </w:r>
            <w:r w:rsidR="00401FB3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7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401FB3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3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0</w:t>
            </w:r>
          </w:p>
          <w:p w:rsidR="0004594E" w:rsidRPr="00562F63" w:rsidRDefault="0004594E" w:rsidP="00401FB3">
            <w:pPr>
              <w:spacing w:line="276" w:lineRule="auto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3" w:type="dxa"/>
          </w:tcPr>
          <w:p w:rsidR="00401FB3" w:rsidRPr="00562F63" w:rsidRDefault="00401FB3" w:rsidP="00401F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</w:pPr>
          </w:p>
          <w:p w:rsidR="0004594E" w:rsidRPr="00562F63" w:rsidRDefault="00401FB3" w:rsidP="00401F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Discussion &amp; </w:t>
            </w:r>
            <w:r w:rsidR="0004594E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Concluding </w:t>
            </w:r>
            <w:r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>R</w:t>
            </w:r>
            <w:r w:rsidR="0004594E" w:rsidRPr="00562F63">
              <w:rPr>
                <w:rFonts w:ascii="Garamond" w:hAnsi="Garamon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emarks </w:t>
            </w:r>
          </w:p>
          <w:p w:rsidR="0004594E" w:rsidRPr="00562F63" w:rsidRDefault="00401FB3" w:rsidP="00401F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  <w:sz w:val="24"/>
                <w:szCs w:val="24"/>
              </w:rPr>
            </w:pPr>
            <w:r w:rsidRPr="00562F63">
              <w:rPr>
                <w:rFonts w:ascii="Garamond" w:hAnsi="Garamond"/>
                <w:i/>
                <w:iCs/>
                <w:color w:val="262626" w:themeColor="text1" w:themeTint="D9"/>
                <w:sz w:val="24"/>
                <w:szCs w:val="24"/>
              </w:rPr>
              <w:t>Moderator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>:</w:t>
            </w:r>
            <w:r w:rsidR="0004594E"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 </w:t>
            </w:r>
            <w:r w:rsidRPr="00562F63">
              <w:rPr>
                <w:rFonts w:ascii="Garamond" w:hAnsi="Garamond"/>
                <w:color w:val="262626" w:themeColor="text1" w:themeTint="D9"/>
                <w:sz w:val="24"/>
                <w:szCs w:val="24"/>
              </w:rPr>
              <w:t xml:space="preserve">Claudia Rapp </w:t>
            </w:r>
            <w:r w:rsidR="0004594E" w:rsidRPr="003763C0">
              <w:rPr>
                <w:rFonts w:ascii="Garamond" w:hAnsi="Garamond"/>
                <w:color w:val="262626" w:themeColor="text1" w:themeTint="D9"/>
              </w:rPr>
              <w:t xml:space="preserve">(University of </w:t>
            </w:r>
            <w:r w:rsidRPr="003763C0">
              <w:rPr>
                <w:rFonts w:ascii="Garamond" w:hAnsi="Garamond"/>
                <w:color w:val="262626" w:themeColor="text1" w:themeTint="D9"/>
              </w:rPr>
              <w:t>Vienna / Austrian Academy of Sciences</w:t>
            </w:r>
            <w:r w:rsidR="0004594E" w:rsidRPr="003763C0">
              <w:rPr>
                <w:rFonts w:ascii="Garamond" w:hAnsi="Garamond"/>
                <w:color w:val="262626" w:themeColor="text1" w:themeTint="D9"/>
              </w:rPr>
              <w:t>)</w:t>
            </w:r>
          </w:p>
          <w:p w:rsidR="0004594E" w:rsidRPr="00562F63" w:rsidRDefault="0004594E" w:rsidP="00401FB3">
            <w:pPr>
              <w:pStyle w:val="Companynam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 w:val="0"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A7CF4" w:rsidRDefault="003A7CF4" w:rsidP="003A7CF4">
      <w:pPr>
        <w:rPr>
          <w:rFonts w:ascii="Garamond" w:hAnsi="Garamond"/>
          <w:smallCaps/>
          <w:color w:val="262626" w:themeColor="text1" w:themeTint="D9"/>
        </w:rPr>
      </w:pPr>
    </w:p>
    <w:p w:rsidR="003A7CF4" w:rsidRPr="00664014" w:rsidRDefault="003A7CF4" w:rsidP="003A7CF4">
      <w:pPr>
        <w:rPr>
          <w:rFonts w:ascii="Garamond" w:hAnsi="Garamond"/>
          <w:smallCaps/>
          <w:color w:val="262626" w:themeColor="text1" w:themeTint="D9"/>
        </w:rPr>
      </w:pPr>
      <w:r w:rsidRPr="003A7CF4">
        <w:rPr>
          <w:rFonts w:ascii="Garamond" w:hAnsi="Garamond"/>
          <w:b/>
          <w:bCs/>
          <w:smallCaps/>
          <w:color w:val="262626" w:themeColor="text1" w:themeTint="D9"/>
        </w:rPr>
        <w:t>20:00</w:t>
      </w:r>
      <w:r>
        <w:rPr>
          <w:rFonts w:ascii="Garamond" w:hAnsi="Garamond"/>
          <w:smallCaps/>
          <w:color w:val="262626" w:themeColor="text1" w:themeTint="D9"/>
        </w:rPr>
        <w:t xml:space="preserve"> </w:t>
      </w:r>
      <w:r>
        <w:rPr>
          <w:rFonts w:ascii="Garamond" w:hAnsi="Garamond"/>
          <w:smallCaps/>
          <w:color w:val="262626" w:themeColor="text1" w:themeTint="D9"/>
        </w:rPr>
        <w:tab/>
      </w:r>
      <w:r w:rsidRPr="003A7CF4">
        <w:rPr>
          <w:rFonts w:ascii="Garamond" w:hAnsi="Garamond"/>
          <w:b/>
          <w:bCs/>
          <w:smallCaps/>
          <w:color w:val="262626" w:themeColor="text1" w:themeTint="D9"/>
        </w:rPr>
        <w:t>Dinner for Invited Guests</w:t>
      </w:r>
    </w:p>
    <w:p w:rsidR="00CD0CE6" w:rsidRDefault="00CD0CE6" w:rsidP="0004594E">
      <w:pPr>
        <w:pStyle w:val="Heading1"/>
        <w:tabs>
          <w:tab w:val="left" w:pos="365"/>
          <w:tab w:val="center" w:pos="4680"/>
        </w:tabs>
        <w:jc w:val="left"/>
        <w:rPr>
          <w:rFonts w:ascii="Garamond" w:hAnsi="Garamond"/>
        </w:rPr>
      </w:pPr>
    </w:p>
    <w:p w:rsidR="004F6001" w:rsidRDefault="00711C93" w:rsidP="004769C1">
      <w:pPr>
        <w:rPr>
          <w:b/>
          <w:bCs/>
          <w:i/>
          <w:iCs/>
        </w:rPr>
      </w:pPr>
      <w:r>
        <w:rPr>
          <w:i/>
          <w:i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2339872</wp:posOffset>
            </wp:positionH>
            <wp:positionV relativeFrom="paragraph">
              <wp:posOffset>265430</wp:posOffset>
            </wp:positionV>
            <wp:extent cx="1588770" cy="64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BU Logo - Global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001" w:rsidRPr="004769C1">
        <w:rPr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4F74" wp14:editId="4E9664BC">
                <wp:simplePos x="0" y="0"/>
                <wp:positionH relativeFrom="column">
                  <wp:posOffset>4642885</wp:posOffset>
                </wp:positionH>
                <wp:positionV relativeFrom="paragraph">
                  <wp:posOffset>197145</wp:posOffset>
                </wp:positionV>
                <wp:extent cx="1197270" cy="941705"/>
                <wp:effectExtent l="38100" t="25400" r="47625" b="74295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1B1226-E168-AA45-9EB7-B604C52077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70" cy="9417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C1" w:rsidRDefault="004769C1" w:rsidP="004769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OCBR</w:t>
                            </w:r>
                          </w:p>
                          <w:p w:rsidR="004769C1" w:rsidRPr="004F6001" w:rsidRDefault="004769C1" w:rsidP="004769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6001">
                              <w:rPr>
                                <w:rFonts w:ascii="Georgia" w:hAnsi="Georgia" w:cstheme="minorBidi"/>
                                <w:color w:val="002060"/>
                                <w:kern w:val="24"/>
                                <w:sz w:val="18"/>
                                <w:szCs w:val="18"/>
                              </w:rPr>
                              <w:t>Oxford Centre for Byzantine Research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04F74" id="Rectangle 21" o:spid="_x0000_s1026" style="position:absolute;margin-left:365.6pt;margin-top:15.5pt;width:94.2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" fillcolor="#ccc0d9 [1303]" strokecolor="#4579b8 [3044]">
                <v:shadow on="t" color="black" opacity="22937f" origin=",.5" offset="0,.63889mm"/>
                <v:textbox>
                  <w:txbxContent>
                    <w:p w:rsidR="004769C1" w:rsidRDefault="004769C1" w:rsidP="004769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OCBR</w:t>
                      </w:r>
                    </w:p>
                    <w:p w:rsidR="004769C1" w:rsidRPr="004F6001" w:rsidRDefault="004769C1" w:rsidP="004769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6001">
                        <w:rPr>
                          <w:rFonts w:ascii="Georgia" w:hAnsi="Georgia" w:cstheme="minorBidi"/>
                          <w:color w:val="002060"/>
                          <w:kern w:val="24"/>
                          <w:sz w:val="18"/>
                          <w:szCs w:val="18"/>
                        </w:rPr>
                        <w:t>Oxford Centre for Byzantine Research</w:t>
                      </w:r>
                    </w:p>
                  </w:txbxContent>
                </v:textbox>
              </v:rect>
            </w:pict>
          </mc:Fallback>
        </mc:AlternateContent>
      </w:r>
      <w:r w:rsidR="004769C1" w:rsidRPr="004769C1">
        <w:rPr>
          <w:b/>
          <w:bCs/>
          <w:i/>
          <w:iCs/>
        </w:rPr>
        <w:t xml:space="preserve">The workshop </w:t>
      </w:r>
      <w:r w:rsidR="004F6001">
        <w:rPr>
          <w:b/>
          <w:bCs/>
          <w:i/>
          <w:iCs/>
        </w:rPr>
        <w:t>is</w:t>
      </w:r>
      <w:r w:rsidR="004769C1" w:rsidRPr="004769C1">
        <w:rPr>
          <w:b/>
          <w:bCs/>
          <w:i/>
          <w:iCs/>
        </w:rPr>
        <w:t xml:space="preserve"> supported by</w:t>
      </w:r>
    </w:p>
    <w:p w:rsidR="004769C1" w:rsidRPr="004769C1" w:rsidRDefault="00711C93" w:rsidP="004769C1">
      <w:pPr>
        <w:rPr>
          <w:b/>
          <w:bCs/>
          <w:i/>
          <w:iCs/>
        </w:rPr>
      </w:pPr>
      <w:r w:rsidRPr="004769C1">
        <w:rPr>
          <w:b/>
          <w:bCs/>
          <w:i/>
          <w:iCs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3C76FA1">
            <wp:simplePos x="0" y="0"/>
            <wp:positionH relativeFrom="column">
              <wp:posOffset>793750</wp:posOffset>
            </wp:positionH>
            <wp:positionV relativeFrom="paragraph">
              <wp:posOffset>133572</wp:posOffset>
            </wp:positionV>
            <wp:extent cx="974090" cy="861695"/>
            <wp:effectExtent l="0" t="0" r="3810" b="1905"/>
            <wp:wrapSquare wrapText="bothSides"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93881A-1D90-9949-BA8A-9DD0B591C6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93881A-1D90-9949-BA8A-9DD0B591C6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1" w:rsidRPr="004769C1">
        <w:rPr>
          <w:b/>
          <w:bCs/>
          <w:i/>
          <w:iCs/>
        </w:rPr>
        <w:t xml:space="preserve"> </w:t>
      </w:r>
    </w:p>
    <w:p w:rsidR="004769C1" w:rsidRDefault="004769C1" w:rsidP="004769C1">
      <w:pPr>
        <w:rPr>
          <w:i/>
          <w:iCs/>
        </w:rPr>
      </w:pPr>
      <w:r>
        <w:rPr>
          <w:i/>
          <w:iCs/>
        </w:rPr>
        <w:t xml:space="preserve"> </w:t>
      </w:r>
    </w:p>
    <w:p w:rsidR="004769C1" w:rsidRPr="004769C1" w:rsidRDefault="00711C93" w:rsidP="004769C1">
      <w:pPr>
        <w:rPr>
          <w:i/>
          <w:iCs/>
        </w:rPr>
      </w:pPr>
      <w:r w:rsidRPr="004769C1">
        <w:rPr>
          <w:i/>
          <w:i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D05E674">
            <wp:simplePos x="0" y="0"/>
            <wp:positionH relativeFrom="column">
              <wp:posOffset>389598</wp:posOffset>
            </wp:positionH>
            <wp:positionV relativeFrom="paragraph">
              <wp:posOffset>589014</wp:posOffset>
            </wp:positionV>
            <wp:extent cx="2694494" cy="971107"/>
            <wp:effectExtent l="0" t="0" r="0" b="0"/>
            <wp:wrapSquare wrapText="bothSides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AA79C2-EB91-A344-9BF9-FA0ACB26F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AA79C2-EB91-A344-9BF9-FA0ACB26FD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494" cy="971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1" w:rsidRPr="004769C1">
        <w:rPr>
          <w:i/>
          <w:iCs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C43D887">
            <wp:simplePos x="0" y="0"/>
            <wp:positionH relativeFrom="column">
              <wp:posOffset>3664202</wp:posOffset>
            </wp:positionH>
            <wp:positionV relativeFrom="paragraph">
              <wp:posOffset>747321</wp:posOffset>
            </wp:positionV>
            <wp:extent cx="2006600" cy="807720"/>
            <wp:effectExtent l="0" t="0" r="0" b="508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AD3BC1-3377-D54A-9926-A10132810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AD3BC1-3377-D54A-9926-A10132810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9C1" w:rsidRPr="004769C1" w:rsidSect="00952DEC">
      <w:pgSz w:w="11900" w:h="16840" w:code="9"/>
      <w:pgMar w:top="46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96" w:rsidRDefault="00C96B96" w:rsidP="00794996">
      <w:pPr>
        <w:spacing w:after="0" w:line="240" w:lineRule="auto"/>
      </w:pPr>
      <w:r>
        <w:separator/>
      </w:r>
    </w:p>
  </w:endnote>
  <w:endnote w:type="continuationSeparator" w:id="0">
    <w:p w:rsidR="00C96B96" w:rsidRDefault="00C96B96" w:rsidP="0079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96" w:rsidRDefault="00C96B96" w:rsidP="00794996">
      <w:pPr>
        <w:spacing w:after="0" w:line="240" w:lineRule="auto"/>
      </w:pPr>
      <w:r>
        <w:separator/>
      </w:r>
    </w:p>
  </w:footnote>
  <w:footnote w:type="continuationSeparator" w:id="0">
    <w:p w:rsidR="00C96B96" w:rsidRDefault="00C96B96" w:rsidP="0079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83"/>
    <w:rsid w:val="00013B61"/>
    <w:rsid w:val="00027937"/>
    <w:rsid w:val="000409FD"/>
    <w:rsid w:val="0004594E"/>
    <w:rsid w:val="000544FF"/>
    <w:rsid w:val="000600A1"/>
    <w:rsid w:val="00062C12"/>
    <w:rsid w:val="00093B54"/>
    <w:rsid w:val="000B0D96"/>
    <w:rsid w:val="000C3EC1"/>
    <w:rsid w:val="000F31DD"/>
    <w:rsid w:val="001014D3"/>
    <w:rsid w:val="00140C7D"/>
    <w:rsid w:val="00160F2D"/>
    <w:rsid w:val="00170C9C"/>
    <w:rsid w:val="00193A0C"/>
    <w:rsid w:val="001C41E5"/>
    <w:rsid w:val="0020569B"/>
    <w:rsid w:val="00216456"/>
    <w:rsid w:val="00216C58"/>
    <w:rsid w:val="0023496C"/>
    <w:rsid w:val="00242E5D"/>
    <w:rsid w:val="002454DE"/>
    <w:rsid w:val="00253386"/>
    <w:rsid w:val="00254027"/>
    <w:rsid w:val="002633CE"/>
    <w:rsid w:val="00275648"/>
    <w:rsid w:val="00290685"/>
    <w:rsid w:val="002922D0"/>
    <w:rsid w:val="00293816"/>
    <w:rsid w:val="00296AE1"/>
    <w:rsid w:val="002C35F0"/>
    <w:rsid w:val="002E5E84"/>
    <w:rsid w:val="002E6086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763C0"/>
    <w:rsid w:val="00396651"/>
    <w:rsid w:val="003A7CF4"/>
    <w:rsid w:val="003B10C0"/>
    <w:rsid w:val="003D69BA"/>
    <w:rsid w:val="00401FB3"/>
    <w:rsid w:val="00402F69"/>
    <w:rsid w:val="0041378C"/>
    <w:rsid w:val="004154C4"/>
    <w:rsid w:val="004169B9"/>
    <w:rsid w:val="00416B52"/>
    <w:rsid w:val="00417945"/>
    <w:rsid w:val="004406FA"/>
    <w:rsid w:val="00452E55"/>
    <w:rsid w:val="00465C6C"/>
    <w:rsid w:val="004769C1"/>
    <w:rsid w:val="004908C5"/>
    <w:rsid w:val="004A1865"/>
    <w:rsid w:val="004D5B68"/>
    <w:rsid w:val="004E77BD"/>
    <w:rsid w:val="004F369F"/>
    <w:rsid w:val="004F6001"/>
    <w:rsid w:val="00530717"/>
    <w:rsid w:val="005325C5"/>
    <w:rsid w:val="00537E83"/>
    <w:rsid w:val="00540925"/>
    <w:rsid w:val="005416DD"/>
    <w:rsid w:val="00562F63"/>
    <w:rsid w:val="00567D0A"/>
    <w:rsid w:val="0057029E"/>
    <w:rsid w:val="00584447"/>
    <w:rsid w:val="00586F8F"/>
    <w:rsid w:val="00595F76"/>
    <w:rsid w:val="005A0515"/>
    <w:rsid w:val="005A0F85"/>
    <w:rsid w:val="005B3147"/>
    <w:rsid w:val="005C1190"/>
    <w:rsid w:val="005C7890"/>
    <w:rsid w:val="005D6D58"/>
    <w:rsid w:val="005E69DF"/>
    <w:rsid w:val="006144E8"/>
    <w:rsid w:val="00664014"/>
    <w:rsid w:val="00666066"/>
    <w:rsid w:val="00666460"/>
    <w:rsid w:val="006720A6"/>
    <w:rsid w:val="00674B0C"/>
    <w:rsid w:val="0068255A"/>
    <w:rsid w:val="006C69E6"/>
    <w:rsid w:val="006D7DDE"/>
    <w:rsid w:val="006E124B"/>
    <w:rsid w:val="006E7E18"/>
    <w:rsid w:val="006F111C"/>
    <w:rsid w:val="006F294B"/>
    <w:rsid w:val="00710572"/>
    <w:rsid w:val="00711C93"/>
    <w:rsid w:val="007368A5"/>
    <w:rsid w:val="0075221C"/>
    <w:rsid w:val="007525D0"/>
    <w:rsid w:val="00760BED"/>
    <w:rsid w:val="007739C1"/>
    <w:rsid w:val="007817F5"/>
    <w:rsid w:val="00794996"/>
    <w:rsid w:val="007A7614"/>
    <w:rsid w:val="007D0994"/>
    <w:rsid w:val="008027A5"/>
    <w:rsid w:val="008046A1"/>
    <w:rsid w:val="008434A5"/>
    <w:rsid w:val="00844B99"/>
    <w:rsid w:val="00852BCA"/>
    <w:rsid w:val="00882812"/>
    <w:rsid w:val="008A4338"/>
    <w:rsid w:val="008B4098"/>
    <w:rsid w:val="008B7154"/>
    <w:rsid w:val="008C77DC"/>
    <w:rsid w:val="008E07F9"/>
    <w:rsid w:val="008E69AC"/>
    <w:rsid w:val="00902BD6"/>
    <w:rsid w:val="00914307"/>
    <w:rsid w:val="009209FE"/>
    <w:rsid w:val="00921CBA"/>
    <w:rsid w:val="00946500"/>
    <w:rsid w:val="00952DEC"/>
    <w:rsid w:val="00973C2C"/>
    <w:rsid w:val="00983B66"/>
    <w:rsid w:val="0099603B"/>
    <w:rsid w:val="009A00AC"/>
    <w:rsid w:val="009C3B34"/>
    <w:rsid w:val="009C5D45"/>
    <w:rsid w:val="009C72FE"/>
    <w:rsid w:val="009D4201"/>
    <w:rsid w:val="009E3BC6"/>
    <w:rsid w:val="009E68F3"/>
    <w:rsid w:val="009F4F2C"/>
    <w:rsid w:val="00A12502"/>
    <w:rsid w:val="00A14785"/>
    <w:rsid w:val="00A30E66"/>
    <w:rsid w:val="00A41B2F"/>
    <w:rsid w:val="00A5184C"/>
    <w:rsid w:val="00A5271E"/>
    <w:rsid w:val="00A67B22"/>
    <w:rsid w:val="00A86EB2"/>
    <w:rsid w:val="00A872E1"/>
    <w:rsid w:val="00AB6255"/>
    <w:rsid w:val="00AC2008"/>
    <w:rsid w:val="00AC214E"/>
    <w:rsid w:val="00AC6625"/>
    <w:rsid w:val="00AD215D"/>
    <w:rsid w:val="00AD5EA4"/>
    <w:rsid w:val="00B060E9"/>
    <w:rsid w:val="00B51DAA"/>
    <w:rsid w:val="00B63707"/>
    <w:rsid w:val="00B72366"/>
    <w:rsid w:val="00B92FA8"/>
    <w:rsid w:val="00B936B6"/>
    <w:rsid w:val="00B94EED"/>
    <w:rsid w:val="00BB49D2"/>
    <w:rsid w:val="00BC2BAE"/>
    <w:rsid w:val="00BD2A52"/>
    <w:rsid w:val="00BF38C2"/>
    <w:rsid w:val="00C3287E"/>
    <w:rsid w:val="00C35000"/>
    <w:rsid w:val="00C71056"/>
    <w:rsid w:val="00C904F6"/>
    <w:rsid w:val="00C96B96"/>
    <w:rsid w:val="00CB5687"/>
    <w:rsid w:val="00CC1F8C"/>
    <w:rsid w:val="00CC6400"/>
    <w:rsid w:val="00CD0CE6"/>
    <w:rsid w:val="00CE359F"/>
    <w:rsid w:val="00CF4C18"/>
    <w:rsid w:val="00CF58F6"/>
    <w:rsid w:val="00D02D62"/>
    <w:rsid w:val="00D0467D"/>
    <w:rsid w:val="00D10478"/>
    <w:rsid w:val="00D213BD"/>
    <w:rsid w:val="00D22DE0"/>
    <w:rsid w:val="00D31569"/>
    <w:rsid w:val="00D34075"/>
    <w:rsid w:val="00D3753C"/>
    <w:rsid w:val="00D87EC8"/>
    <w:rsid w:val="00DA72B0"/>
    <w:rsid w:val="00DB07E4"/>
    <w:rsid w:val="00E043CB"/>
    <w:rsid w:val="00E05809"/>
    <w:rsid w:val="00E13C03"/>
    <w:rsid w:val="00E22048"/>
    <w:rsid w:val="00E40CFB"/>
    <w:rsid w:val="00E51A82"/>
    <w:rsid w:val="00E52884"/>
    <w:rsid w:val="00E801C4"/>
    <w:rsid w:val="00E80982"/>
    <w:rsid w:val="00E87680"/>
    <w:rsid w:val="00E969E7"/>
    <w:rsid w:val="00EA0B19"/>
    <w:rsid w:val="00ED41F3"/>
    <w:rsid w:val="00EF580F"/>
    <w:rsid w:val="00FA2FE3"/>
    <w:rsid w:val="00FA39B7"/>
    <w:rsid w:val="00FB507B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5E2B90-66C1-ED44-9119-51536AB7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55"/>
  </w:style>
  <w:style w:type="paragraph" w:styleId="Heading1">
    <w:name w:val="heading 1"/>
    <w:basedOn w:val="Normal"/>
    <w:next w:val="Normal"/>
    <w:link w:val="Heading1Char"/>
    <w:uiPriority w:val="9"/>
    <w:qFormat/>
    <w:rsid w:val="00AB625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5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5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5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5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5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5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5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5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255"/>
    <w:rPr>
      <w:caps/>
      <w:color w:val="632423" w:themeColor="accent2" w:themeShade="80"/>
      <w:spacing w:val="20"/>
      <w:sz w:val="28"/>
      <w:szCs w:val="28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25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B6255"/>
    <w:rPr>
      <w:b/>
      <w:bCs/>
      <w:color w:val="943634" w:themeColor="accent2" w:themeShade="BF"/>
      <w:spacing w:val="5"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uiPriority w:val="33"/>
    <w:qFormat/>
    <w:rsid w:val="00AB6255"/>
    <w:rPr>
      <w:caps/>
      <w:color w:val="622423" w:themeColor="accent2" w:themeShade="7F"/>
      <w:spacing w:val="5"/>
      <w:u w:color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255"/>
    <w:rPr>
      <w:caps/>
      <w:spacing w:val="1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uiPriority w:val="20"/>
    <w:qFormat/>
    <w:rsid w:val="00AB6255"/>
    <w:rPr>
      <w:caps/>
      <w:spacing w:val="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5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5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5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5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5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5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55"/>
    <w:rPr>
      <w:i/>
      <w:iCs/>
      <w:caps/>
      <w:spacing w:val="10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b/>
      <w:bCs/>
    </w:rPr>
  </w:style>
  <w:style w:type="character" w:styleId="IntenseEmphasis">
    <w:name w:val="Intense Emphasis"/>
    <w:uiPriority w:val="21"/>
    <w:qFormat/>
    <w:rsid w:val="00AB6255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25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255"/>
    <w:rPr>
      <w:caps/>
      <w:color w:val="622423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AB625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B625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B625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B62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255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next w:val="Normal"/>
    <w:link w:val="SubtitleChar"/>
    <w:uiPriority w:val="11"/>
    <w:qFormat/>
    <w:rsid w:val="00AB625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B6255"/>
    <w:rPr>
      <w:caps/>
      <w:spacing w:val="20"/>
      <w:sz w:val="18"/>
      <w:szCs w:val="18"/>
    </w:rPr>
  </w:style>
  <w:style w:type="character" w:styleId="SubtleEmphasis">
    <w:name w:val="Subtle Emphasis"/>
    <w:uiPriority w:val="19"/>
    <w:qFormat/>
    <w:rsid w:val="00AB625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AB625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25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55"/>
    <w:rPr>
      <w:caps/>
      <w:color w:val="632423" w:themeColor="accent2" w:themeShade="80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B6255"/>
    <w:rPr>
      <w:caps/>
      <w:color w:val="632423" w:themeColor="accent2" w:themeShade="80"/>
      <w:spacing w:val="50"/>
      <w:sz w:val="44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AB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Zakarian</dc:creator>
  <cp:lastModifiedBy>Krisztina Lugosi</cp:lastModifiedBy>
  <cp:revision>2</cp:revision>
  <cp:lastPrinted>2019-03-05T16:16:00Z</cp:lastPrinted>
  <dcterms:created xsi:type="dcterms:W3CDTF">2019-03-13T12:56:00Z</dcterms:created>
  <dcterms:modified xsi:type="dcterms:W3CDTF">2019-03-13T12:56:00Z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