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8B447" w14:textId="77777777" w:rsidR="0015543C" w:rsidRPr="00AD3E38" w:rsidRDefault="0015543C" w:rsidP="00AF774A">
      <w:pPr>
        <w:spacing w:after="240" w:line="360" w:lineRule="auto"/>
        <w:jc w:val="center"/>
        <w:rPr>
          <w:rFonts w:ascii="Century Gothic" w:hAnsi="Century Gothic"/>
          <w:b/>
          <w:bCs/>
          <w:sz w:val="18"/>
          <w:szCs w:val="18"/>
        </w:rPr>
      </w:pPr>
    </w:p>
    <w:p w14:paraId="04DC2B83" w14:textId="77777777" w:rsidR="0015543C" w:rsidRPr="00AD3E38" w:rsidRDefault="0015543C" w:rsidP="00AF774A">
      <w:pPr>
        <w:spacing w:after="240" w:line="360" w:lineRule="auto"/>
        <w:jc w:val="center"/>
        <w:rPr>
          <w:rFonts w:ascii="Century Gothic" w:hAnsi="Century Gothic"/>
          <w:b/>
          <w:bCs/>
          <w:sz w:val="18"/>
          <w:szCs w:val="18"/>
        </w:rPr>
      </w:pPr>
    </w:p>
    <w:p w14:paraId="3579084A" w14:textId="77777777" w:rsidR="0015543C" w:rsidRPr="00AD3E38" w:rsidRDefault="0015543C" w:rsidP="00AF774A">
      <w:pPr>
        <w:spacing w:after="240" w:line="360" w:lineRule="auto"/>
        <w:jc w:val="center"/>
        <w:rPr>
          <w:rFonts w:ascii="Century Gothic" w:hAnsi="Century Gothic"/>
          <w:b/>
          <w:bCs/>
          <w:sz w:val="18"/>
          <w:szCs w:val="18"/>
        </w:rPr>
      </w:pPr>
    </w:p>
    <w:p w14:paraId="4D23ED1B" w14:textId="77777777" w:rsidR="0015543C" w:rsidRPr="00AD3E38" w:rsidRDefault="0015543C" w:rsidP="00AF774A">
      <w:pPr>
        <w:spacing w:after="240" w:line="360" w:lineRule="auto"/>
        <w:jc w:val="center"/>
        <w:rPr>
          <w:rFonts w:ascii="Century Gothic" w:hAnsi="Century Gothic"/>
          <w:b/>
          <w:bCs/>
          <w:sz w:val="18"/>
          <w:szCs w:val="18"/>
        </w:rPr>
      </w:pPr>
    </w:p>
    <w:p w14:paraId="66CE6033" w14:textId="77777777" w:rsidR="0015543C" w:rsidRPr="00AD3E38" w:rsidRDefault="0015543C" w:rsidP="00AF774A">
      <w:pPr>
        <w:spacing w:after="240" w:line="360" w:lineRule="auto"/>
        <w:jc w:val="center"/>
        <w:rPr>
          <w:rFonts w:ascii="Century Gothic" w:hAnsi="Century Gothic"/>
          <w:b/>
          <w:bCs/>
          <w:sz w:val="18"/>
          <w:szCs w:val="18"/>
        </w:rPr>
      </w:pPr>
    </w:p>
    <w:p w14:paraId="341E0BCF" w14:textId="2CDBCA2C" w:rsidR="0015543C" w:rsidRPr="00AD3E38" w:rsidRDefault="0015543C" w:rsidP="00AF774A">
      <w:pPr>
        <w:spacing w:after="240" w:line="360" w:lineRule="auto"/>
        <w:jc w:val="center"/>
        <w:rPr>
          <w:rFonts w:ascii="Century Gothic" w:hAnsi="Century Gothic"/>
          <w:b/>
          <w:bCs/>
          <w:sz w:val="18"/>
          <w:szCs w:val="18"/>
        </w:rPr>
      </w:pPr>
      <w:r w:rsidRPr="00AD3E38">
        <w:rPr>
          <w:sz w:val="18"/>
          <w:szCs w:val="18"/>
        </w:rPr>
        <w:fldChar w:fldCharType="begin"/>
      </w:r>
      <w:r w:rsidRPr="00AD3E38">
        <w:rPr>
          <w:sz w:val="18"/>
          <w:szCs w:val="18"/>
        </w:rPr>
        <w:instrText xml:space="preserve"> INCLUDEPICTURE "/Users/helenaaeberli/Library/Group Containers/UBF8T346G9.ms/WebArchiveCopyPasteTempFiles/com.microsoft.Word/Vitruvianischer_Mann.png?utm_source=commons.wikimedia.org&amp;utm_campaign=index&amp;utm_content=original" \* MERGEFORMATINET </w:instrText>
      </w:r>
      <w:r w:rsidRPr="00AD3E38">
        <w:rPr>
          <w:sz w:val="18"/>
          <w:szCs w:val="18"/>
        </w:rPr>
        <w:fldChar w:fldCharType="separate"/>
      </w:r>
      <w:r w:rsidRPr="00AD3E38">
        <w:rPr>
          <w:noProof/>
          <w:sz w:val="18"/>
          <w:szCs w:val="18"/>
        </w:rPr>
        <w:drawing>
          <wp:inline distT="0" distB="0" distL="0" distR="0" wp14:anchorId="4A9C5880" wp14:editId="0A7319D1">
            <wp:extent cx="2518305" cy="2543695"/>
            <wp:effectExtent l="0" t="0" r="0" b="0"/>
            <wp:docPr id="6361189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2308" cy="2588142"/>
                    </a:xfrm>
                    <a:prstGeom prst="rect">
                      <a:avLst/>
                    </a:prstGeom>
                    <a:noFill/>
                    <a:ln>
                      <a:noFill/>
                    </a:ln>
                  </pic:spPr>
                </pic:pic>
              </a:graphicData>
            </a:graphic>
          </wp:inline>
        </w:drawing>
      </w:r>
      <w:r w:rsidRPr="00AD3E38">
        <w:rPr>
          <w:sz w:val="18"/>
          <w:szCs w:val="18"/>
        </w:rPr>
        <w:fldChar w:fldCharType="end"/>
      </w:r>
    </w:p>
    <w:p w14:paraId="5B8382D7" w14:textId="77777777" w:rsidR="0015543C" w:rsidRPr="00AD3E38" w:rsidRDefault="0015543C" w:rsidP="00AF774A">
      <w:pPr>
        <w:spacing w:after="240" w:line="360" w:lineRule="auto"/>
        <w:jc w:val="center"/>
        <w:rPr>
          <w:rFonts w:ascii="Century Gothic" w:hAnsi="Century Gothic"/>
          <w:b/>
          <w:bCs/>
          <w:sz w:val="18"/>
          <w:szCs w:val="18"/>
        </w:rPr>
      </w:pPr>
    </w:p>
    <w:p w14:paraId="16538866" w14:textId="764BF85A" w:rsidR="0015543C" w:rsidRPr="00AD3E38" w:rsidRDefault="0015543C" w:rsidP="00AF774A">
      <w:pPr>
        <w:spacing w:after="240" w:line="360" w:lineRule="auto"/>
        <w:jc w:val="center"/>
        <w:rPr>
          <w:rFonts w:ascii="Century Gothic" w:hAnsi="Century Gothic"/>
          <w:b/>
          <w:bCs/>
          <w:sz w:val="22"/>
          <w:szCs w:val="22"/>
        </w:rPr>
      </w:pPr>
      <w:r w:rsidRPr="00AD3E38">
        <w:rPr>
          <w:rFonts w:ascii="Century Gothic" w:hAnsi="Century Gothic"/>
          <w:b/>
          <w:bCs/>
          <w:sz w:val="22"/>
          <w:szCs w:val="22"/>
        </w:rPr>
        <w:t xml:space="preserve">The Body in History </w:t>
      </w:r>
      <w:r w:rsidRPr="00AD3E38">
        <w:rPr>
          <w:rFonts w:ascii="Century Gothic" w:hAnsi="Century Gothic"/>
          <w:b/>
          <w:bCs/>
          <w:sz w:val="22"/>
          <w:szCs w:val="22"/>
        </w:rPr>
        <w:t>| Interdisciplinary Postgraduate Career Researcher and Early Career Researcher Conference</w:t>
      </w:r>
    </w:p>
    <w:p w14:paraId="1DA47BB0" w14:textId="7FB6705A" w:rsidR="0015543C" w:rsidRPr="00AD3E38" w:rsidRDefault="0015543C" w:rsidP="00AF774A">
      <w:pPr>
        <w:spacing w:after="240" w:line="360" w:lineRule="auto"/>
        <w:jc w:val="center"/>
        <w:rPr>
          <w:rFonts w:ascii="Century Gothic" w:hAnsi="Century Gothic"/>
          <w:b/>
          <w:bCs/>
          <w:sz w:val="22"/>
          <w:szCs w:val="22"/>
        </w:rPr>
      </w:pPr>
      <w:r w:rsidRPr="00AD3E38">
        <w:rPr>
          <w:rFonts w:ascii="Century Gothic" w:hAnsi="Century Gothic"/>
          <w:b/>
          <w:bCs/>
          <w:sz w:val="22"/>
          <w:szCs w:val="22"/>
        </w:rPr>
        <w:t>Monday, 6 July 2026</w:t>
      </w:r>
      <w:r w:rsidRPr="00AD3E38">
        <w:rPr>
          <w:rFonts w:ascii="Century Gothic" w:hAnsi="Century Gothic"/>
          <w:b/>
          <w:bCs/>
          <w:sz w:val="22"/>
          <w:szCs w:val="22"/>
        </w:rPr>
        <w:t xml:space="preserve"> </w:t>
      </w:r>
    </w:p>
    <w:p w14:paraId="4A29BF1E" w14:textId="77777777" w:rsidR="0015543C" w:rsidRPr="00AD3E38" w:rsidRDefault="0015543C" w:rsidP="00AF774A">
      <w:pPr>
        <w:spacing w:after="240" w:line="360" w:lineRule="auto"/>
        <w:jc w:val="center"/>
        <w:rPr>
          <w:rFonts w:ascii="Century Gothic" w:hAnsi="Century Gothic"/>
          <w:b/>
          <w:bCs/>
          <w:sz w:val="22"/>
          <w:szCs w:val="22"/>
        </w:rPr>
      </w:pPr>
      <w:r w:rsidRPr="00AD3E38">
        <w:rPr>
          <w:rFonts w:ascii="Century Gothic" w:hAnsi="Century Gothic"/>
          <w:b/>
          <w:bCs/>
          <w:sz w:val="22"/>
          <w:szCs w:val="22"/>
        </w:rPr>
        <w:t>Schwarzman Centre for the Humanities, University of Oxford</w:t>
      </w:r>
    </w:p>
    <w:p w14:paraId="2EABFD3C" w14:textId="27E25C64" w:rsidR="0015543C" w:rsidRPr="00AD3E38" w:rsidRDefault="0015543C" w:rsidP="00AF774A">
      <w:pPr>
        <w:spacing w:after="240"/>
        <w:rPr>
          <w:rFonts w:ascii="Century Gothic" w:hAnsi="Century Gothic"/>
          <w:sz w:val="22"/>
          <w:szCs w:val="22"/>
        </w:rPr>
      </w:pPr>
      <w:r w:rsidRPr="00AD3E38">
        <w:rPr>
          <w:rFonts w:ascii="Century Gothic" w:hAnsi="Century Gothic"/>
          <w:sz w:val="22"/>
          <w:szCs w:val="22"/>
        </w:rPr>
        <w:br w:type="page"/>
      </w:r>
    </w:p>
    <w:p w14:paraId="14894F53" w14:textId="77777777" w:rsidR="001374B6" w:rsidRDefault="001374B6" w:rsidP="00AF774A">
      <w:pPr>
        <w:spacing w:after="240" w:line="360" w:lineRule="auto"/>
        <w:rPr>
          <w:rFonts w:ascii="Century Gothic" w:hAnsi="Century Gothic"/>
          <w:sz w:val="18"/>
          <w:szCs w:val="18"/>
        </w:rPr>
      </w:pPr>
    </w:p>
    <w:p w14:paraId="25BDDFE2" w14:textId="364F7D9F" w:rsidR="0015543C" w:rsidRPr="00EF2300" w:rsidRDefault="0015543C" w:rsidP="00AF774A">
      <w:pPr>
        <w:spacing w:after="240" w:line="360" w:lineRule="auto"/>
        <w:rPr>
          <w:rFonts w:ascii="Century Gothic" w:hAnsi="Century Gothic"/>
          <w:sz w:val="18"/>
          <w:szCs w:val="18"/>
        </w:rPr>
      </w:pPr>
      <w:r w:rsidRPr="00EF2300">
        <w:rPr>
          <w:rFonts w:ascii="Century Gothic" w:hAnsi="Century Gothic"/>
          <w:sz w:val="18"/>
          <w:szCs w:val="18"/>
        </w:rPr>
        <w:t>Academic study is often concerned with the mind, with ideas, reason, and fact which are implicitly set against the messy, complicated realities of human embodiment. However, recent decades have seen a turn towards the body across the humanities and social sciences, a wide-ranging and dynamic topic. Alongside this ‘somatic turn’ in academia, contemporary culture displays something of an obsession with the body, its appearance, performance, and management. Moreover, even when our research does not directly touch on the body, we all have bodies, and our engagements with the university and archive as well as broader society are informed by our different experiences of embodiment.</w:t>
      </w:r>
    </w:p>
    <w:p w14:paraId="0FC93136" w14:textId="4A24BED3" w:rsidR="000A59C4" w:rsidRPr="000A59C4" w:rsidRDefault="000A59C4" w:rsidP="000A59C4">
      <w:pPr>
        <w:spacing w:after="240" w:line="360" w:lineRule="auto"/>
        <w:rPr>
          <w:rFonts w:ascii="Century Gothic" w:hAnsi="Century Gothic"/>
          <w:sz w:val="18"/>
          <w:szCs w:val="18"/>
        </w:rPr>
      </w:pPr>
      <w:r w:rsidRPr="000A59C4">
        <w:rPr>
          <w:rFonts w:ascii="Century Gothic" w:hAnsi="Century Gothic"/>
          <w:sz w:val="18"/>
          <w:szCs w:val="18"/>
        </w:rPr>
        <w:t>The</w:t>
      </w:r>
      <w:r w:rsidRPr="000A59C4">
        <w:rPr>
          <w:rFonts w:ascii="Century Gothic" w:hAnsi="Century Gothic"/>
          <w:b/>
          <w:bCs/>
          <w:sz w:val="18"/>
          <w:szCs w:val="18"/>
        </w:rPr>
        <w:t> Body in History Network </w:t>
      </w:r>
      <w:r w:rsidR="006B0CD4">
        <w:rPr>
          <w:rFonts w:ascii="Century Gothic" w:hAnsi="Century Gothic"/>
          <w:sz w:val="18"/>
          <w:szCs w:val="18"/>
        </w:rPr>
        <w:t xml:space="preserve">is a research network based at Oxford. We </w:t>
      </w:r>
      <w:r w:rsidRPr="000A59C4">
        <w:rPr>
          <w:rFonts w:ascii="Century Gothic" w:hAnsi="Century Gothic"/>
          <w:sz w:val="18"/>
          <w:szCs w:val="18"/>
        </w:rPr>
        <w:t>bring</w:t>
      </w:r>
      <w:r w:rsidR="006B0CD4">
        <w:rPr>
          <w:rFonts w:ascii="Century Gothic" w:hAnsi="Century Gothic"/>
          <w:sz w:val="18"/>
          <w:szCs w:val="18"/>
        </w:rPr>
        <w:t xml:space="preserve"> </w:t>
      </w:r>
      <w:r w:rsidRPr="000A59C4">
        <w:rPr>
          <w:rFonts w:ascii="Century Gothic" w:hAnsi="Century Gothic"/>
          <w:sz w:val="18"/>
          <w:szCs w:val="18"/>
        </w:rPr>
        <w:t>together researchers across disciplines interested in the history, representation, and experience of the human body and its environments. The group provides a space to unite the disparate range of body research at Oxford, offering a unique opportunity to cross disciplinary divides, network, and share insights. Please email </w:t>
      </w:r>
      <w:hyperlink r:id="rId7" w:history="1">
        <w:r w:rsidRPr="000A59C4">
          <w:rPr>
            <w:rStyle w:val="Hyperlink"/>
            <w:rFonts w:ascii="Century Gothic" w:hAnsi="Century Gothic"/>
            <w:sz w:val="18"/>
            <w:szCs w:val="18"/>
          </w:rPr>
          <w:t>bihn@history.ox.ac.uk</w:t>
        </w:r>
      </w:hyperlink>
      <w:r w:rsidRPr="000A59C4">
        <w:rPr>
          <w:rFonts w:ascii="Century Gothic" w:hAnsi="Century Gothic"/>
          <w:sz w:val="18"/>
          <w:szCs w:val="18"/>
        </w:rPr>
        <w:t xml:space="preserve"> to join </w:t>
      </w:r>
      <w:r w:rsidR="00ED67EE">
        <w:rPr>
          <w:rFonts w:ascii="Century Gothic" w:hAnsi="Century Gothic"/>
          <w:sz w:val="18"/>
          <w:szCs w:val="18"/>
        </w:rPr>
        <w:t>our</w:t>
      </w:r>
      <w:r w:rsidRPr="000A59C4">
        <w:rPr>
          <w:rFonts w:ascii="Century Gothic" w:hAnsi="Century Gothic"/>
          <w:sz w:val="18"/>
          <w:szCs w:val="18"/>
        </w:rPr>
        <w:t xml:space="preserve"> mailing list.</w:t>
      </w:r>
    </w:p>
    <w:p w14:paraId="2D2E767A" w14:textId="6BBB0AA5" w:rsidR="0015543C" w:rsidRPr="00EF2300" w:rsidRDefault="0015543C" w:rsidP="00AF774A">
      <w:pPr>
        <w:spacing w:after="240" w:line="360" w:lineRule="auto"/>
        <w:rPr>
          <w:rFonts w:ascii="Century Gothic" w:hAnsi="Century Gothic"/>
          <w:i/>
          <w:iCs/>
          <w:sz w:val="18"/>
          <w:szCs w:val="18"/>
        </w:rPr>
      </w:pPr>
      <w:r w:rsidRPr="00EF2300">
        <w:rPr>
          <w:rFonts w:ascii="Century Gothic" w:hAnsi="Century Gothic"/>
          <w:i/>
          <w:iCs/>
          <w:sz w:val="18"/>
          <w:szCs w:val="18"/>
        </w:rPr>
        <w:t>The Body in History Conference is generously funded by The Oxford Research Centre in the Humanities</w:t>
      </w:r>
      <w:r w:rsidR="00111C24">
        <w:rPr>
          <w:rFonts w:ascii="Century Gothic" w:hAnsi="Century Gothic"/>
          <w:i/>
          <w:iCs/>
          <w:sz w:val="18"/>
          <w:szCs w:val="18"/>
        </w:rPr>
        <w:t xml:space="preserve"> Critical Thinking Communities Programme</w:t>
      </w:r>
      <w:r w:rsidRPr="00EF2300">
        <w:rPr>
          <w:rFonts w:ascii="Century Gothic" w:hAnsi="Century Gothic"/>
          <w:i/>
          <w:iCs/>
          <w:sz w:val="18"/>
          <w:szCs w:val="18"/>
        </w:rPr>
        <w:t xml:space="preserve"> (TORCH),</w:t>
      </w:r>
      <w:r w:rsidR="002C2ADE">
        <w:rPr>
          <w:rFonts w:ascii="Century Gothic" w:hAnsi="Century Gothic"/>
          <w:i/>
          <w:iCs/>
          <w:sz w:val="18"/>
          <w:szCs w:val="18"/>
        </w:rPr>
        <w:t xml:space="preserve"> The TORCH</w:t>
      </w:r>
      <w:r w:rsidRPr="00EF2300">
        <w:rPr>
          <w:rFonts w:ascii="Century Gothic" w:hAnsi="Century Gothic"/>
          <w:i/>
          <w:iCs/>
          <w:sz w:val="18"/>
          <w:szCs w:val="18"/>
        </w:rPr>
        <w:t xml:space="preserve"> Medical Humanities</w:t>
      </w:r>
      <w:r w:rsidR="002C2ADE">
        <w:rPr>
          <w:rFonts w:ascii="Century Gothic" w:hAnsi="Century Gothic"/>
          <w:i/>
          <w:iCs/>
          <w:sz w:val="18"/>
          <w:szCs w:val="18"/>
        </w:rPr>
        <w:t xml:space="preserve"> Hub</w:t>
      </w:r>
      <w:r w:rsidRPr="00EF2300">
        <w:rPr>
          <w:rFonts w:ascii="Century Gothic" w:hAnsi="Century Gothic"/>
          <w:i/>
          <w:iCs/>
          <w:sz w:val="18"/>
          <w:szCs w:val="18"/>
        </w:rPr>
        <w:t xml:space="preserve">, and Magdalen College, Oxford. </w:t>
      </w:r>
    </w:p>
    <w:p w14:paraId="58509B53" w14:textId="77777777" w:rsidR="008338FA" w:rsidRPr="00EF2300" w:rsidRDefault="008338FA" w:rsidP="00AF774A">
      <w:pPr>
        <w:spacing w:after="240" w:line="360" w:lineRule="auto"/>
        <w:rPr>
          <w:rFonts w:ascii="Century Gothic" w:hAnsi="Century Gothic"/>
          <w:i/>
          <w:iCs/>
          <w:sz w:val="18"/>
          <w:szCs w:val="18"/>
        </w:rPr>
      </w:pPr>
    </w:p>
    <w:p w14:paraId="31F96D11" w14:textId="77777777" w:rsidR="008338FA" w:rsidRPr="00EF2300" w:rsidRDefault="008338FA" w:rsidP="00AF774A">
      <w:pPr>
        <w:spacing w:after="240" w:line="360" w:lineRule="auto"/>
        <w:rPr>
          <w:rFonts w:ascii="Century Gothic" w:hAnsi="Century Gothic"/>
          <w:i/>
          <w:iCs/>
          <w:sz w:val="18"/>
          <w:szCs w:val="18"/>
        </w:rPr>
      </w:pPr>
    </w:p>
    <w:p w14:paraId="0BEED3B7" w14:textId="77777777" w:rsidR="008338FA" w:rsidRPr="00EF2300" w:rsidRDefault="008338FA" w:rsidP="00AF774A">
      <w:pPr>
        <w:spacing w:after="240" w:line="360" w:lineRule="auto"/>
        <w:rPr>
          <w:rFonts w:ascii="Century Gothic" w:hAnsi="Century Gothic"/>
          <w:i/>
          <w:iCs/>
          <w:sz w:val="18"/>
          <w:szCs w:val="18"/>
        </w:rPr>
      </w:pPr>
    </w:p>
    <w:p w14:paraId="0BDA28F9" w14:textId="77777777" w:rsidR="008338FA" w:rsidRPr="00EF2300" w:rsidRDefault="008338FA" w:rsidP="00AF774A">
      <w:pPr>
        <w:spacing w:after="240" w:line="360" w:lineRule="auto"/>
        <w:rPr>
          <w:rFonts w:ascii="Century Gothic" w:hAnsi="Century Gothic"/>
          <w:i/>
          <w:iCs/>
          <w:sz w:val="18"/>
          <w:szCs w:val="18"/>
        </w:rPr>
      </w:pPr>
    </w:p>
    <w:p w14:paraId="1C54BBE2" w14:textId="77777777" w:rsidR="008338FA" w:rsidRDefault="008338FA" w:rsidP="00AF774A">
      <w:pPr>
        <w:spacing w:after="240" w:line="360" w:lineRule="auto"/>
        <w:rPr>
          <w:rFonts w:ascii="Century Gothic" w:hAnsi="Century Gothic"/>
          <w:i/>
          <w:iCs/>
          <w:sz w:val="18"/>
          <w:szCs w:val="18"/>
        </w:rPr>
      </w:pPr>
    </w:p>
    <w:p w14:paraId="7B9E143E" w14:textId="77777777" w:rsidR="000A59C4" w:rsidRDefault="000A59C4" w:rsidP="00AF774A">
      <w:pPr>
        <w:spacing w:after="240" w:line="360" w:lineRule="auto"/>
        <w:rPr>
          <w:rFonts w:ascii="Century Gothic" w:hAnsi="Century Gothic"/>
          <w:i/>
          <w:iCs/>
          <w:sz w:val="18"/>
          <w:szCs w:val="18"/>
        </w:rPr>
      </w:pPr>
    </w:p>
    <w:p w14:paraId="6D8D3071" w14:textId="77777777" w:rsidR="000A59C4" w:rsidRPr="00EF2300" w:rsidRDefault="000A59C4" w:rsidP="00AF774A">
      <w:pPr>
        <w:spacing w:after="240" w:line="360" w:lineRule="auto"/>
        <w:rPr>
          <w:rFonts w:ascii="Century Gothic" w:hAnsi="Century Gothic"/>
          <w:i/>
          <w:iCs/>
          <w:sz w:val="18"/>
          <w:szCs w:val="18"/>
        </w:rPr>
      </w:pPr>
    </w:p>
    <w:p w14:paraId="3599C5E8" w14:textId="77777777" w:rsidR="008338FA" w:rsidRPr="00EF2300" w:rsidRDefault="008338FA" w:rsidP="00AF774A">
      <w:pPr>
        <w:spacing w:after="240" w:line="360" w:lineRule="auto"/>
        <w:rPr>
          <w:rFonts w:ascii="Century Gothic" w:hAnsi="Century Gothic"/>
          <w:i/>
          <w:iCs/>
          <w:sz w:val="18"/>
          <w:szCs w:val="18"/>
        </w:rPr>
      </w:pPr>
    </w:p>
    <w:p w14:paraId="204FB45B" w14:textId="77777777" w:rsidR="008338FA" w:rsidRPr="00EF2300" w:rsidRDefault="008338FA" w:rsidP="00AF774A">
      <w:pPr>
        <w:spacing w:after="240" w:line="360" w:lineRule="auto"/>
        <w:rPr>
          <w:rFonts w:ascii="Century Gothic" w:hAnsi="Century Gothic"/>
          <w:i/>
          <w:iCs/>
          <w:sz w:val="18"/>
          <w:szCs w:val="18"/>
        </w:rPr>
      </w:pPr>
    </w:p>
    <w:p w14:paraId="60369CB2" w14:textId="77777777" w:rsidR="008338FA" w:rsidRPr="00EF2300" w:rsidRDefault="008338FA" w:rsidP="00AF774A">
      <w:pPr>
        <w:spacing w:after="240" w:line="360" w:lineRule="auto"/>
        <w:rPr>
          <w:rFonts w:ascii="Century Gothic" w:hAnsi="Century Gothic"/>
          <w:i/>
          <w:iCs/>
          <w:sz w:val="18"/>
          <w:szCs w:val="18"/>
        </w:rPr>
      </w:pPr>
    </w:p>
    <w:p w14:paraId="1AB09F65" w14:textId="77777777" w:rsidR="008338FA" w:rsidRPr="00EF2300" w:rsidRDefault="008338FA" w:rsidP="00AF774A">
      <w:pPr>
        <w:spacing w:after="240" w:line="360" w:lineRule="auto"/>
        <w:rPr>
          <w:rFonts w:ascii="Century Gothic" w:hAnsi="Century Gothic"/>
          <w:i/>
          <w:iCs/>
          <w:sz w:val="18"/>
          <w:szCs w:val="18"/>
        </w:rPr>
      </w:pPr>
    </w:p>
    <w:p w14:paraId="727542C3" w14:textId="77777777" w:rsidR="008338FA" w:rsidRDefault="008338FA" w:rsidP="00AF774A">
      <w:pPr>
        <w:spacing w:after="240" w:line="360" w:lineRule="auto"/>
        <w:rPr>
          <w:rFonts w:ascii="Century Gothic" w:hAnsi="Century Gothic"/>
          <w:i/>
          <w:iCs/>
          <w:sz w:val="18"/>
          <w:szCs w:val="18"/>
        </w:rPr>
      </w:pPr>
    </w:p>
    <w:p w14:paraId="5CE2605B" w14:textId="24D6275F" w:rsidR="000A59C4" w:rsidRPr="00EF2300" w:rsidRDefault="000A59C4" w:rsidP="00AF774A">
      <w:pPr>
        <w:spacing w:after="240" w:line="360" w:lineRule="auto"/>
        <w:rPr>
          <w:rFonts w:ascii="Century Gothic" w:hAnsi="Century Gothic"/>
          <w:i/>
          <w:iCs/>
          <w:sz w:val="18"/>
          <w:szCs w:val="18"/>
        </w:rPr>
      </w:pPr>
      <w:hyperlink r:id="rId8" w:history="1">
        <w:r w:rsidRPr="005D1AA9">
          <w:rPr>
            <w:rStyle w:val="Hyperlink"/>
            <w:rFonts w:ascii="Century Gothic" w:hAnsi="Century Gothic"/>
            <w:i/>
            <w:iCs/>
            <w:sz w:val="18"/>
            <w:szCs w:val="18"/>
          </w:rPr>
          <w:t>https://www.torch.ox.ac.uk/the-body-in-history-network</w:t>
        </w:r>
      </w:hyperlink>
      <w:r>
        <w:rPr>
          <w:rFonts w:ascii="Century Gothic" w:hAnsi="Century Gothic"/>
          <w:i/>
          <w:iCs/>
          <w:sz w:val="18"/>
          <w:szCs w:val="18"/>
        </w:rPr>
        <w:t xml:space="preserve"> </w:t>
      </w:r>
    </w:p>
    <w:p w14:paraId="524019C1" w14:textId="1E606BC9" w:rsidR="00EF2300" w:rsidRPr="00EF2300" w:rsidRDefault="008338FA" w:rsidP="00AF774A">
      <w:pPr>
        <w:spacing w:after="240" w:line="360" w:lineRule="auto"/>
        <w:rPr>
          <w:rFonts w:ascii="Century Gothic" w:hAnsi="Century Gothic"/>
          <w:i/>
          <w:iCs/>
          <w:sz w:val="18"/>
          <w:szCs w:val="18"/>
        </w:rPr>
      </w:pPr>
      <w:r w:rsidRPr="00EF2300">
        <w:rPr>
          <w:rFonts w:ascii="Century Gothic" w:hAnsi="Century Gothic"/>
          <w:i/>
          <w:iCs/>
          <w:sz w:val="18"/>
          <w:szCs w:val="18"/>
        </w:rPr>
        <w:t xml:space="preserve">Please </w:t>
      </w:r>
      <w:r w:rsidR="00AE4DE7" w:rsidRPr="00EF2300">
        <w:rPr>
          <w:rFonts w:ascii="Century Gothic" w:hAnsi="Century Gothic"/>
          <w:i/>
          <w:iCs/>
          <w:sz w:val="18"/>
          <w:szCs w:val="18"/>
        </w:rPr>
        <w:t>direct</w:t>
      </w:r>
      <w:r w:rsidRPr="00EF2300">
        <w:rPr>
          <w:rFonts w:ascii="Century Gothic" w:hAnsi="Century Gothic"/>
          <w:i/>
          <w:iCs/>
          <w:sz w:val="18"/>
          <w:szCs w:val="18"/>
        </w:rPr>
        <w:t xml:space="preserve"> any questions to </w:t>
      </w:r>
      <w:hyperlink r:id="rId9" w:history="1">
        <w:r w:rsidRPr="00EF2300">
          <w:rPr>
            <w:rStyle w:val="Hyperlink"/>
            <w:rFonts w:ascii="Century Gothic" w:hAnsi="Century Gothic"/>
            <w:i/>
            <w:iCs/>
            <w:sz w:val="18"/>
            <w:szCs w:val="18"/>
          </w:rPr>
          <w:t>bihn@history.ox.ac.uk</w:t>
        </w:r>
      </w:hyperlink>
    </w:p>
    <w:p w14:paraId="46E42227" w14:textId="1DAE8937" w:rsidR="00EF2300" w:rsidRDefault="008338FA" w:rsidP="00AF774A">
      <w:pPr>
        <w:spacing w:after="240" w:line="360" w:lineRule="auto"/>
        <w:rPr>
          <w:rFonts w:ascii="Century Gothic" w:hAnsi="Century Gothic"/>
          <w:i/>
          <w:iCs/>
          <w:sz w:val="18"/>
          <w:szCs w:val="18"/>
        </w:rPr>
      </w:pPr>
      <w:r w:rsidRPr="00EF2300">
        <w:rPr>
          <w:rFonts w:ascii="Century Gothic" w:hAnsi="Century Gothic"/>
          <w:i/>
          <w:iCs/>
          <w:sz w:val="18"/>
          <w:szCs w:val="18"/>
        </w:rPr>
        <w:t>Please follow us on Bluesky @bodyinhistoryox.bsky.social</w:t>
      </w:r>
      <w:r w:rsidRPr="00EF2300">
        <w:rPr>
          <w:rFonts w:ascii="Century Gothic" w:hAnsi="Century Gothic"/>
          <w:i/>
          <w:iCs/>
          <w:sz w:val="18"/>
          <w:szCs w:val="18"/>
        </w:rPr>
        <w:t xml:space="preserve">. Feel free to share about the conference online and tag us in any posts! </w:t>
      </w:r>
    </w:p>
    <w:p w14:paraId="4BD2C5D1" w14:textId="77777777" w:rsidR="00EF2300" w:rsidRDefault="00EF2300" w:rsidP="00AF774A">
      <w:pPr>
        <w:spacing w:after="240"/>
        <w:rPr>
          <w:rFonts w:ascii="Century Gothic" w:hAnsi="Century Gothic"/>
          <w:i/>
          <w:iCs/>
          <w:sz w:val="18"/>
          <w:szCs w:val="18"/>
        </w:rPr>
      </w:pPr>
      <w:r>
        <w:rPr>
          <w:rFonts w:ascii="Century Gothic" w:hAnsi="Century Gothic"/>
          <w:i/>
          <w:iCs/>
          <w:sz w:val="18"/>
          <w:szCs w:val="18"/>
        </w:rPr>
        <w:br w:type="page"/>
      </w:r>
    </w:p>
    <w:p w14:paraId="2A125E0B" w14:textId="77777777" w:rsidR="00AD3E38" w:rsidRPr="00EF2300" w:rsidRDefault="00AD3E38" w:rsidP="00AF774A">
      <w:pPr>
        <w:spacing w:after="240" w:line="360" w:lineRule="auto"/>
        <w:rPr>
          <w:rFonts w:ascii="Century Gothic" w:hAnsi="Century Gothic"/>
          <w:i/>
          <w:iCs/>
          <w:sz w:val="18"/>
          <w:szCs w:val="18"/>
        </w:rPr>
      </w:pPr>
    </w:p>
    <w:tbl>
      <w:tblPr>
        <w:tblW w:w="10483" w:type="dxa"/>
        <w:tblCellSpacing w:w="0" w:type="dxa"/>
        <w:tblInd w:w="8" w:type="dxa"/>
        <w:tblCellMar>
          <w:left w:w="0" w:type="dxa"/>
          <w:right w:w="0" w:type="dxa"/>
        </w:tblCellMar>
        <w:tblLook w:val="04A0" w:firstRow="1" w:lastRow="0" w:firstColumn="1" w:lastColumn="0" w:noHBand="0" w:noVBand="1"/>
      </w:tblPr>
      <w:tblGrid>
        <w:gridCol w:w="111"/>
        <w:gridCol w:w="554"/>
        <w:gridCol w:w="4974"/>
        <w:gridCol w:w="4748"/>
        <w:gridCol w:w="96"/>
      </w:tblGrid>
      <w:tr w:rsidR="00AD3E38" w:rsidRPr="00AD3E38" w14:paraId="45B81019" w14:textId="77777777" w:rsidTr="00AD3E38">
        <w:trPr>
          <w:trHeight w:val="1218"/>
          <w:tblCellSpacing w:w="0" w:type="dxa"/>
        </w:trPr>
        <w:tc>
          <w:tcPr>
            <w:tcW w:w="0" w:type="auto"/>
            <w:shd w:val="clear" w:color="auto" w:fill="B4CDCA"/>
            <w:tcMar>
              <w:top w:w="0" w:type="dxa"/>
              <w:left w:w="45" w:type="dxa"/>
              <w:bottom w:w="0" w:type="dxa"/>
              <w:right w:w="45" w:type="dxa"/>
            </w:tcMar>
            <w:vAlign w:val="center"/>
            <w:hideMark/>
          </w:tcPr>
          <w:p w14:paraId="33242EB0"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gridSpan w:val="3"/>
            <w:shd w:val="clear" w:color="auto" w:fill="B4CDCA"/>
            <w:noWrap/>
            <w:tcMar>
              <w:top w:w="0" w:type="dxa"/>
              <w:left w:w="45" w:type="dxa"/>
              <w:bottom w:w="0" w:type="dxa"/>
              <w:right w:w="45" w:type="dxa"/>
            </w:tcMar>
            <w:vAlign w:val="center"/>
            <w:hideMark/>
          </w:tcPr>
          <w:p w14:paraId="4DACF3AF" w14:textId="77777777" w:rsidR="00AD3E38" w:rsidRPr="00C70EBF" w:rsidRDefault="00AD3E38" w:rsidP="00AF774A">
            <w:pPr>
              <w:spacing w:after="240"/>
              <w:jc w:val="center"/>
              <w:rPr>
                <w:rFonts w:ascii="Century Gothic" w:eastAsia="Times New Roman" w:hAnsi="Century Gothic" w:cs="Times New Roman"/>
                <w:i/>
                <w:iCs/>
                <w:color w:val="283C3A"/>
                <w:kern w:val="0"/>
                <w:sz w:val="28"/>
                <w:szCs w:val="28"/>
                <w:lang w:eastAsia="en-GB"/>
                <w14:ligatures w14:val="none"/>
              </w:rPr>
            </w:pPr>
          </w:p>
          <w:p w14:paraId="0E1FE584" w14:textId="381A0852" w:rsidR="00AD3E38" w:rsidRPr="00C70EBF" w:rsidRDefault="00AD3E38" w:rsidP="00AF774A">
            <w:pPr>
              <w:spacing w:after="240"/>
              <w:jc w:val="center"/>
              <w:rPr>
                <w:rFonts w:ascii="Century Gothic" w:eastAsia="Times New Roman" w:hAnsi="Century Gothic" w:cs="Times New Roman"/>
                <w:i/>
                <w:iCs/>
                <w:color w:val="283C3A"/>
                <w:kern w:val="0"/>
                <w:sz w:val="28"/>
                <w:szCs w:val="28"/>
                <w:lang w:eastAsia="en-GB"/>
                <w14:ligatures w14:val="none"/>
              </w:rPr>
            </w:pPr>
            <w:r w:rsidRPr="00C70EBF">
              <w:rPr>
                <w:rFonts w:ascii="Century Gothic" w:eastAsia="Times New Roman" w:hAnsi="Century Gothic" w:cs="Times New Roman"/>
                <w:i/>
                <w:iCs/>
                <w:color w:val="283C3A"/>
                <w:kern w:val="0"/>
                <w:sz w:val="28"/>
                <w:szCs w:val="28"/>
                <w:lang w:eastAsia="en-GB"/>
                <w14:ligatures w14:val="none"/>
              </w:rPr>
              <w:t>Schedule</w:t>
            </w:r>
          </w:p>
        </w:tc>
        <w:tc>
          <w:tcPr>
            <w:tcW w:w="0" w:type="auto"/>
            <w:shd w:val="clear" w:color="auto" w:fill="B4CDCA"/>
            <w:tcMar>
              <w:top w:w="0" w:type="dxa"/>
              <w:left w:w="45" w:type="dxa"/>
              <w:bottom w:w="0" w:type="dxa"/>
              <w:right w:w="45" w:type="dxa"/>
            </w:tcMar>
            <w:vAlign w:val="center"/>
            <w:hideMark/>
          </w:tcPr>
          <w:p w14:paraId="78B4A8AE" w14:textId="77777777" w:rsidR="00AD3E38" w:rsidRPr="00AD3E38" w:rsidRDefault="00AD3E38" w:rsidP="00AF774A">
            <w:pPr>
              <w:spacing w:after="240"/>
              <w:jc w:val="center"/>
              <w:rPr>
                <w:rFonts w:ascii="Georgia" w:eastAsia="Times New Roman" w:hAnsi="Georgia" w:cs="Times New Roman"/>
                <w:i/>
                <w:iCs/>
                <w:color w:val="283C3A"/>
                <w:kern w:val="0"/>
                <w:sz w:val="18"/>
                <w:szCs w:val="18"/>
                <w:lang w:eastAsia="en-GB"/>
                <w14:ligatures w14:val="none"/>
              </w:rPr>
            </w:pPr>
          </w:p>
        </w:tc>
      </w:tr>
      <w:tr w:rsidR="00AD3E38" w:rsidRPr="00AD3E38" w14:paraId="1C2EE82B" w14:textId="77777777" w:rsidTr="00AD3E38">
        <w:trPr>
          <w:trHeight w:val="301"/>
          <w:tblCellSpacing w:w="0" w:type="dxa"/>
        </w:trPr>
        <w:tc>
          <w:tcPr>
            <w:tcW w:w="0" w:type="auto"/>
            <w:shd w:val="clear" w:color="auto" w:fill="B4CDCA"/>
            <w:tcMar>
              <w:top w:w="0" w:type="dxa"/>
              <w:left w:w="45" w:type="dxa"/>
              <w:bottom w:w="0" w:type="dxa"/>
              <w:right w:w="45" w:type="dxa"/>
            </w:tcMar>
            <w:vAlign w:val="center"/>
            <w:hideMark/>
          </w:tcPr>
          <w:p w14:paraId="414E76B5"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shd w:val="clear" w:color="auto" w:fill="B4CDCA"/>
            <w:tcMar>
              <w:top w:w="0" w:type="dxa"/>
              <w:left w:w="45" w:type="dxa"/>
              <w:bottom w:w="0" w:type="dxa"/>
              <w:right w:w="45" w:type="dxa"/>
            </w:tcMar>
            <w:vAlign w:val="center"/>
            <w:hideMark/>
          </w:tcPr>
          <w:p w14:paraId="7A2CDF9B"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4810" w:type="dxa"/>
            <w:shd w:val="clear" w:color="auto" w:fill="B4CDCA"/>
            <w:tcMar>
              <w:top w:w="0" w:type="dxa"/>
              <w:left w:w="45" w:type="dxa"/>
              <w:bottom w:w="0" w:type="dxa"/>
              <w:right w:w="45" w:type="dxa"/>
            </w:tcMar>
            <w:vAlign w:val="center"/>
            <w:hideMark/>
          </w:tcPr>
          <w:p w14:paraId="268B460E"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4549" w:type="dxa"/>
            <w:shd w:val="clear" w:color="auto" w:fill="B4CDCA"/>
            <w:tcMar>
              <w:top w:w="0" w:type="dxa"/>
              <w:left w:w="45" w:type="dxa"/>
              <w:bottom w:w="0" w:type="dxa"/>
              <w:right w:w="45" w:type="dxa"/>
            </w:tcMar>
            <w:vAlign w:val="center"/>
            <w:hideMark/>
          </w:tcPr>
          <w:p w14:paraId="480B4D98"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shd w:val="clear" w:color="auto" w:fill="B4CDCA"/>
            <w:tcMar>
              <w:top w:w="0" w:type="dxa"/>
              <w:left w:w="45" w:type="dxa"/>
              <w:bottom w:w="0" w:type="dxa"/>
              <w:right w:w="45" w:type="dxa"/>
            </w:tcMar>
            <w:vAlign w:val="center"/>
            <w:hideMark/>
          </w:tcPr>
          <w:p w14:paraId="74AC9722"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r>
      <w:tr w:rsidR="00AD3E38" w:rsidRPr="00AD3E38" w14:paraId="2333B7BF" w14:textId="77777777" w:rsidTr="00AD3E38">
        <w:trPr>
          <w:trHeight w:val="363"/>
          <w:tblCellSpacing w:w="0" w:type="dxa"/>
        </w:trPr>
        <w:tc>
          <w:tcPr>
            <w:tcW w:w="0" w:type="auto"/>
            <w:shd w:val="clear" w:color="auto" w:fill="E3EBE7"/>
            <w:tcMar>
              <w:top w:w="0" w:type="dxa"/>
              <w:left w:w="45" w:type="dxa"/>
              <w:bottom w:w="0" w:type="dxa"/>
              <w:right w:w="45" w:type="dxa"/>
            </w:tcMar>
            <w:vAlign w:val="center"/>
            <w:hideMark/>
          </w:tcPr>
          <w:p w14:paraId="4E8D73FD"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gridSpan w:val="3"/>
            <w:tcBorders>
              <w:bottom w:val="single" w:sz="6" w:space="0" w:color="ADC5B9"/>
            </w:tcBorders>
            <w:shd w:val="clear" w:color="auto" w:fill="E3EBE7"/>
            <w:tcMar>
              <w:top w:w="0" w:type="dxa"/>
              <w:left w:w="45" w:type="dxa"/>
              <w:bottom w:w="0" w:type="dxa"/>
              <w:right w:w="45" w:type="dxa"/>
            </w:tcMar>
            <w:vAlign w:val="center"/>
            <w:hideMark/>
          </w:tcPr>
          <w:p w14:paraId="23A79DDC" w14:textId="77777777" w:rsidR="00AD3E38" w:rsidRPr="009C6A92" w:rsidRDefault="00AD3E38" w:rsidP="00AF774A">
            <w:pPr>
              <w:spacing w:after="240"/>
              <w:jc w:val="center"/>
              <w:rPr>
                <w:rFonts w:ascii="Century Gothic" w:eastAsia="Times New Roman" w:hAnsi="Century Gothic" w:cs="Times New Roman"/>
                <w:kern w:val="0"/>
                <w:sz w:val="16"/>
                <w:szCs w:val="16"/>
                <w:lang w:eastAsia="en-GB"/>
                <w14:ligatures w14:val="none"/>
              </w:rPr>
            </w:pPr>
            <w:r w:rsidRPr="009C6A92">
              <w:rPr>
                <w:rFonts w:ascii="Century Gothic" w:eastAsia="Times New Roman" w:hAnsi="Century Gothic" w:cs="Times New Roman"/>
                <w:kern w:val="0"/>
                <w:sz w:val="16"/>
                <w:szCs w:val="16"/>
                <w:lang w:eastAsia="en-GB"/>
                <w14:ligatures w14:val="none"/>
              </w:rPr>
              <w:t>Schwarzman Centre for the Humanities, University of Oxford </w:t>
            </w:r>
          </w:p>
        </w:tc>
        <w:tc>
          <w:tcPr>
            <w:tcW w:w="0" w:type="auto"/>
            <w:shd w:val="clear" w:color="auto" w:fill="E3EBE7"/>
            <w:tcMar>
              <w:top w:w="0" w:type="dxa"/>
              <w:left w:w="45" w:type="dxa"/>
              <w:bottom w:w="0" w:type="dxa"/>
              <w:right w:w="45" w:type="dxa"/>
            </w:tcMar>
            <w:vAlign w:val="center"/>
            <w:hideMark/>
          </w:tcPr>
          <w:p w14:paraId="705FB871" w14:textId="77777777" w:rsidR="00AD3E38" w:rsidRPr="00AD3E38" w:rsidRDefault="00AD3E38" w:rsidP="00AF774A">
            <w:pPr>
              <w:spacing w:after="240"/>
              <w:jc w:val="center"/>
              <w:rPr>
                <w:rFonts w:ascii="Century Gothic" w:eastAsia="Times New Roman" w:hAnsi="Century Gothic" w:cs="Times New Roman"/>
                <w:kern w:val="0"/>
                <w:sz w:val="18"/>
                <w:szCs w:val="18"/>
                <w:lang w:eastAsia="en-GB"/>
                <w14:ligatures w14:val="none"/>
              </w:rPr>
            </w:pPr>
          </w:p>
        </w:tc>
      </w:tr>
      <w:tr w:rsidR="00AD3E38" w:rsidRPr="00AD3E38" w14:paraId="670A5782" w14:textId="77777777" w:rsidTr="00AD3E38">
        <w:trPr>
          <w:trHeight w:val="340"/>
          <w:tblCellSpacing w:w="0" w:type="dxa"/>
        </w:trPr>
        <w:tc>
          <w:tcPr>
            <w:tcW w:w="0" w:type="auto"/>
            <w:tcBorders>
              <w:right w:val="single" w:sz="6" w:space="0" w:color="ADC5B9"/>
            </w:tcBorders>
            <w:shd w:val="clear" w:color="auto" w:fill="E3EBE7"/>
            <w:tcMar>
              <w:top w:w="0" w:type="dxa"/>
              <w:left w:w="45" w:type="dxa"/>
              <w:bottom w:w="0" w:type="dxa"/>
              <w:right w:w="45" w:type="dxa"/>
            </w:tcMar>
            <w:vAlign w:val="center"/>
            <w:hideMark/>
          </w:tcPr>
          <w:p w14:paraId="121CD50F"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tcBorders>
              <w:bottom w:val="single" w:sz="6" w:space="0" w:color="E0D1C3"/>
              <w:right w:val="single" w:sz="6" w:space="0" w:color="ADC5B9"/>
            </w:tcBorders>
            <w:shd w:val="clear" w:color="auto" w:fill="FFFFFF"/>
            <w:tcMar>
              <w:top w:w="0" w:type="dxa"/>
              <w:left w:w="45" w:type="dxa"/>
              <w:bottom w:w="0" w:type="dxa"/>
              <w:right w:w="45" w:type="dxa"/>
            </w:tcMar>
            <w:vAlign w:val="center"/>
            <w:hideMark/>
          </w:tcPr>
          <w:p w14:paraId="77265C8A" w14:textId="77777777" w:rsidR="00AD3E38" w:rsidRPr="00AD3E38" w:rsidRDefault="00AD3E38" w:rsidP="00AF774A">
            <w:pPr>
              <w:spacing w:after="240"/>
              <w:rPr>
                <w:rFonts w:ascii="Century Gothic" w:eastAsia="Times New Roman" w:hAnsi="Century Gothic" w:cs="Times New Roman"/>
                <w:kern w:val="0"/>
                <w:sz w:val="18"/>
                <w:szCs w:val="18"/>
                <w:lang w:eastAsia="en-GB"/>
                <w14:ligatures w14:val="none"/>
              </w:rPr>
            </w:pPr>
            <w:r w:rsidRPr="00AD3E38">
              <w:rPr>
                <w:rFonts w:ascii="Century Gothic" w:eastAsia="Times New Roman" w:hAnsi="Century Gothic" w:cs="Times New Roman"/>
                <w:kern w:val="0"/>
                <w:sz w:val="18"/>
                <w:szCs w:val="18"/>
                <w:lang w:eastAsia="en-GB"/>
                <w14:ligatures w14:val="none"/>
              </w:rPr>
              <w:t>Date</w:t>
            </w:r>
          </w:p>
        </w:tc>
        <w:tc>
          <w:tcPr>
            <w:tcW w:w="4810" w:type="dxa"/>
            <w:tcBorders>
              <w:bottom w:val="single" w:sz="6" w:space="0" w:color="E0D1C3"/>
              <w:right w:val="single" w:sz="6" w:space="0" w:color="ADC5B9"/>
            </w:tcBorders>
            <w:shd w:val="clear" w:color="auto" w:fill="FFFFFF"/>
            <w:tcMar>
              <w:top w:w="0" w:type="dxa"/>
              <w:left w:w="45" w:type="dxa"/>
              <w:bottom w:w="0" w:type="dxa"/>
              <w:right w:w="45" w:type="dxa"/>
            </w:tcMar>
            <w:vAlign w:val="center"/>
            <w:hideMark/>
          </w:tcPr>
          <w:p w14:paraId="15B90DE6" w14:textId="77777777" w:rsidR="00AD3E38" w:rsidRPr="009C6A92" w:rsidRDefault="00AD3E38" w:rsidP="00AF774A">
            <w:pPr>
              <w:spacing w:after="240"/>
              <w:jc w:val="center"/>
              <w:rPr>
                <w:rFonts w:ascii="Century Gothic" w:eastAsia="Times New Roman" w:hAnsi="Century Gothic" w:cs="Times New Roman"/>
                <w:kern w:val="0"/>
                <w:sz w:val="16"/>
                <w:szCs w:val="16"/>
                <w:lang w:eastAsia="en-GB"/>
                <w14:ligatures w14:val="none"/>
              </w:rPr>
            </w:pPr>
            <w:r w:rsidRPr="009C6A92">
              <w:rPr>
                <w:rFonts w:ascii="Century Gothic" w:eastAsia="Times New Roman" w:hAnsi="Century Gothic" w:cs="Times New Roman"/>
                <w:kern w:val="0"/>
                <w:sz w:val="16"/>
                <w:szCs w:val="16"/>
                <w:lang w:eastAsia="en-GB"/>
                <w14:ligatures w14:val="none"/>
              </w:rPr>
              <w:t>6/7/2026</w:t>
            </w:r>
          </w:p>
        </w:tc>
        <w:tc>
          <w:tcPr>
            <w:tcW w:w="4549" w:type="dxa"/>
            <w:tcBorders>
              <w:bottom w:val="single" w:sz="6" w:space="0" w:color="E0D1C3"/>
              <w:right w:val="single" w:sz="6" w:space="0" w:color="D8D8D8"/>
            </w:tcBorders>
            <w:shd w:val="clear" w:color="auto" w:fill="FFFFFF"/>
            <w:tcMar>
              <w:top w:w="0" w:type="dxa"/>
              <w:left w:w="45" w:type="dxa"/>
              <w:bottom w:w="0" w:type="dxa"/>
              <w:right w:w="45" w:type="dxa"/>
            </w:tcMar>
            <w:vAlign w:val="center"/>
            <w:hideMark/>
          </w:tcPr>
          <w:p w14:paraId="7756FC74" w14:textId="77777777" w:rsidR="00AD3E38" w:rsidRPr="00AD3E38" w:rsidRDefault="00AD3E38" w:rsidP="00AF774A">
            <w:pPr>
              <w:spacing w:after="240"/>
              <w:jc w:val="center"/>
              <w:rPr>
                <w:rFonts w:ascii="Century Gothic" w:eastAsia="Times New Roman" w:hAnsi="Century Gothic" w:cs="Times New Roman"/>
                <w:kern w:val="0"/>
                <w:sz w:val="18"/>
                <w:szCs w:val="18"/>
                <w:lang w:eastAsia="en-GB"/>
                <w14:ligatures w14:val="none"/>
              </w:rPr>
            </w:pPr>
            <w:r w:rsidRPr="00AD3E38">
              <w:rPr>
                <w:rFonts w:ascii="Century Gothic" w:eastAsia="Times New Roman" w:hAnsi="Century Gothic" w:cs="Times New Roman"/>
                <w:kern w:val="0"/>
                <w:sz w:val="18"/>
                <w:szCs w:val="18"/>
                <w:lang w:eastAsia="en-GB"/>
                <w14:ligatures w14:val="none"/>
              </w:rPr>
              <w:t>6/7/2026</w:t>
            </w:r>
          </w:p>
        </w:tc>
        <w:tc>
          <w:tcPr>
            <w:tcW w:w="0" w:type="auto"/>
            <w:shd w:val="clear" w:color="auto" w:fill="E3EBE7"/>
            <w:tcMar>
              <w:top w:w="0" w:type="dxa"/>
              <w:left w:w="45" w:type="dxa"/>
              <w:bottom w:w="0" w:type="dxa"/>
              <w:right w:w="45" w:type="dxa"/>
            </w:tcMar>
            <w:vAlign w:val="center"/>
            <w:hideMark/>
          </w:tcPr>
          <w:p w14:paraId="5F1FEE6B" w14:textId="77777777" w:rsidR="00AD3E38" w:rsidRPr="00AD3E38" w:rsidRDefault="00AD3E38" w:rsidP="00AF774A">
            <w:pPr>
              <w:spacing w:after="240"/>
              <w:jc w:val="center"/>
              <w:rPr>
                <w:rFonts w:ascii="Century Gothic" w:eastAsia="Times New Roman" w:hAnsi="Century Gothic" w:cs="Times New Roman"/>
                <w:kern w:val="0"/>
                <w:sz w:val="18"/>
                <w:szCs w:val="18"/>
                <w:lang w:eastAsia="en-GB"/>
                <w14:ligatures w14:val="none"/>
              </w:rPr>
            </w:pPr>
          </w:p>
        </w:tc>
      </w:tr>
      <w:tr w:rsidR="00AD3E38" w:rsidRPr="00AD3E38" w14:paraId="112B8F8D" w14:textId="77777777" w:rsidTr="00AD3E38">
        <w:trPr>
          <w:trHeight w:val="806"/>
          <w:tblCellSpacing w:w="0" w:type="dxa"/>
        </w:trPr>
        <w:tc>
          <w:tcPr>
            <w:tcW w:w="0" w:type="auto"/>
            <w:tcBorders>
              <w:right w:val="single" w:sz="6" w:space="0" w:color="E0D1C3"/>
            </w:tcBorders>
            <w:shd w:val="clear" w:color="auto" w:fill="E3EBE7"/>
            <w:tcMar>
              <w:top w:w="0" w:type="dxa"/>
              <w:left w:w="45" w:type="dxa"/>
              <w:bottom w:w="0" w:type="dxa"/>
              <w:right w:w="45" w:type="dxa"/>
            </w:tcMar>
            <w:vAlign w:val="center"/>
            <w:hideMark/>
          </w:tcPr>
          <w:p w14:paraId="12CC11DC"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tcBorders>
              <w:bottom w:val="single" w:sz="6" w:space="0" w:color="E0D1C3"/>
              <w:right w:val="single" w:sz="6" w:space="0" w:color="E0D1C3"/>
            </w:tcBorders>
            <w:shd w:val="clear" w:color="auto" w:fill="FFFFFF"/>
            <w:tcMar>
              <w:top w:w="0" w:type="dxa"/>
              <w:left w:w="45" w:type="dxa"/>
              <w:bottom w:w="0" w:type="dxa"/>
              <w:right w:w="45" w:type="dxa"/>
            </w:tcMar>
            <w:vAlign w:val="center"/>
            <w:hideMark/>
          </w:tcPr>
          <w:p w14:paraId="39D5F386" w14:textId="77777777" w:rsidR="00AD3E38" w:rsidRPr="00AD3E38" w:rsidRDefault="00AD3E38" w:rsidP="00AF774A">
            <w:pPr>
              <w:spacing w:after="240"/>
              <w:rPr>
                <w:rFonts w:ascii="Century Gothic" w:eastAsia="Times New Roman" w:hAnsi="Century Gothic" w:cs="Times New Roman"/>
                <w:kern w:val="0"/>
                <w:sz w:val="18"/>
                <w:szCs w:val="18"/>
                <w:lang w:eastAsia="en-GB"/>
                <w14:ligatures w14:val="none"/>
              </w:rPr>
            </w:pPr>
            <w:r w:rsidRPr="00AD3E38">
              <w:rPr>
                <w:rFonts w:ascii="Century Gothic" w:eastAsia="Times New Roman" w:hAnsi="Century Gothic" w:cs="Times New Roman"/>
                <w:kern w:val="0"/>
                <w:sz w:val="18"/>
                <w:szCs w:val="18"/>
                <w:lang w:eastAsia="en-GB"/>
                <w14:ligatures w14:val="none"/>
              </w:rPr>
              <w:t>Time</w:t>
            </w:r>
          </w:p>
        </w:tc>
        <w:tc>
          <w:tcPr>
            <w:tcW w:w="4810" w:type="dxa"/>
            <w:tcBorders>
              <w:bottom w:val="single" w:sz="6" w:space="0" w:color="E0D1C3"/>
              <w:right w:val="single" w:sz="6" w:space="0" w:color="E0D1C3"/>
            </w:tcBorders>
            <w:shd w:val="clear" w:color="auto" w:fill="F6EBD3"/>
            <w:tcMar>
              <w:top w:w="0" w:type="dxa"/>
              <w:left w:w="45" w:type="dxa"/>
              <w:bottom w:w="0" w:type="dxa"/>
              <w:right w:w="45" w:type="dxa"/>
            </w:tcMar>
            <w:vAlign w:val="center"/>
            <w:hideMark/>
          </w:tcPr>
          <w:p w14:paraId="5FEC23E9" w14:textId="77777777" w:rsidR="00AD3E38" w:rsidRPr="009C6A92" w:rsidRDefault="00AD3E38" w:rsidP="00AF774A">
            <w:pPr>
              <w:spacing w:after="240"/>
              <w:jc w:val="center"/>
              <w:rPr>
                <w:rFonts w:ascii="Century Gothic" w:eastAsia="Times New Roman" w:hAnsi="Century Gothic" w:cs="Times New Roman"/>
                <w:b/>
                <w:bCs/>
                <w:kern w:val="0"/>
                <w:sz w:val="16"/>
                <w:szCs w:val="16"/>
                <w:lang w:eastAsia="en-GB"/>
                <w14:ligatures w14:val="none"/>
              </w:rPr>
            </w:pPr>
            <w:r w:rsidRPr="009C6A92">
              <w:rPr>
                <w:rFonts w:ascii="Century Gothic" w:eastAsia="Times New Roman" w:hAnsi="Century Gothic" w:cs="Times New Roman"/>
                <w:b/>
                <w:bCs/>
                <w:kern w:val="0"/>
                <w:sz w:val="16"/>
                <w:szCs w:val="16"/>
                <w:lang w:eastAsia="en-GB"/>
                <w14:ligatures w14:val="none"/>
              </w:rPr>
              <w:t>Learning Centre</w:t>
            </w:r>
          </w:p>
        </w:tc>
        <w:tc>
          <w:tcPr>
            <w:tcW w:w="4549" w:type="dxa"/>
            <w:tcBorders>
              <w:bottom w:val="single" w:sz="6" w:space="0" w:color="E0D1C3"/>
              <w:right w:val="single" w:sz="6" w:space="0" w:color="E0D1C3"/>
            </w:tcBorders>
            <w:shd w:val="clear" w:color="auto" w:fill="F6EBD3"/>
            <w:tcMar>
              <w:top w:w="0" w:type="dxa"/>
              <w:left w:w="45" w:type="dxa"/>
              <w:bottom w:w="0" w:type="dxa"/>
              <w:right w:w="45" w:type="dxa"/>
            </w:tcMar>
            <w:vAlign w:val="center"/>
            <w:hideMark/>
          </w:tcPr>
          <w:p w14:paraId="012A7F62" w14:textId="77777777" w:rsidR="00AD3E38" w:rsidRPr="00AD3E38" w:rsidRDefault="00AD3E38" w:rsidP="00AF774A">
            <w:pPr>
              <w:spacing w:after="240"/>
              <w:jc w:val="center"/>
              <w:rPr>
                <w:rFonts w:ascii="Century Gothic" w:eastAsia="Times New Roman" w:hAnsi="Century Gothic" w:cs="Times New Roman"/>
                <w:b/>
                <w:bCs/>
                <w:kern w:val="0"/>
                <w:sz w:val="18"/>
                <w:szCs w:val="18"/>
                <w:lang w:eastAsia="en-GB"/>
                <w14:ligatures w14:val="none"/>
              </w:rPr>
            </w:pPr>
            <w:r w:rsidRPr="00AD3E38">
              <w:rPr>
                <w:rFonts w:ascii="Century Gothic" w:eastAsia="Times New Roman" w:hAnsi="Century Gothic" w:cs="Times New Roman"/>
                <w:b/>
                <w:bCs/>
                <w:kern w:val="0"/>
                <w:sz w:val="18"/>
                <w:szCs w:val="18"/>
                <w:lang w:eastAsia="en-GB"/>
                <w14:ligatures w14:val="none"/>
              </w:rPr>
              <w:t>Seminar Room 63</w:t>
            </w:r>
          </w:p>
        </w:tc>
        <w:tc>
          <w:tcPr>
            <w:tcW w:w="0" w:type="auto"/>
            <w:shd w:val="clear" w:color="auto" w:fill="E3EBE7"/>
            <w:tcMar>
              <w:top w:w="0" w:type="dxa"/>
              <w:left w:w="45" w:type="dxa"/>
              <w:bottom w:w="0" w:type="dxa"/>
              <w:right w:w="45" w:type="dxa"/>
            </w:tcMar>
            <w:vAlign w:val="center"/>
            <w:hideMark/>
          </w:tcPr>
          <w:p w14:paraId="56658EFE" w14:textId="77777777" w:rsidR="00AD3E38" w:rsidRPr="00AD3E38" w:rsidRDefault="00AD3E38" w:rsidP="00AF774A">
            <w:pPr>
              <w:spacing w:after="240"/>
              <w:jc w:val="center"/>
              <w:rPr>
                <w:rFonts w:ascii="Century Gothic" w:eastAsia="Times New Roman" w:hAnsi="Century Gothic" w:cs="Times New Roman"/>
                <w:kern w:val="0"/>
                <w:sz w:val="18"/>
                <w:szCs w:val="18"/>
                <w:lang w:eastAsia="en-GB"/>
                <w14:ligatures w14:val="none"/>
              </w:rPr>
            </w:pPr>
          </w:p>
        </w:tc>
      </w:tr>
      <w:tr w:rsidR="00AD3E38" w:rsidRPr="00AD3E38" w14:paraId="5DD76A09" w14:textId="77777777" w:rsidTr="00AD3E38">
        <w:trPr>
          <w:trHeight w:val="1370"/>
          <w:tblCellSpacing w:w="0" w:type="dxa"/>
        </w:trPr>
        <w:tc>
          <w:tcPr>
            <w:tcW w:w="0" w:type="auto"/>
            <w:tcBorders>
              <w:right w:val="single" w:sz="6" w:space="0" w:color="E0D1C3"/>
            </w:tcBorders>
            <w:shd w:val="clear" w:color="auto" w:fill="E3EBE7"/>
            <w:tcMar>
              <w:top w:w="0" w:type="dxa"/>
              <w:left w:w="45" w:type="dxa"/>
              <w:bottom w:w="0" w:type="dxa"/>
              <w:right w:w="45" w:type="dxa"/>
            </w:tcMar>
            <w:vAlign w:val="center"/>
            <w:hideMark/>
          </w:tcPr>
          <w:p w14:paraId="4F2EDB07"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tcBorders>
              <w:bottom w:val="single" w:sz="6" w:space="0" w:color="E0D1C3"/>
              <w:right w:val="single" w:sz="6" w:space="0" w:color="E0D1C3"/>
            </w:tcBorders>
            <w:shd w:val="clear" w:color="auto" w:fill="FFFFFF"/>
            <w:tcMar>
              <w:top w:w="0" w:type="dxa"/>
              <w:left w:w="45" w:type="dxa"/>
              <w:bottom w:w="0" w:type="dxa"/>
              <w:right w:w="45" w:type="dxa"/>
            </w:tcMar>
            <w:vAlign w:val="center"/>
            <w:hideMark/>
          </w:tcPr>
          <w:p w14:paraId="53958E55" w14:textId="77777777" w:rsidR="00AD3E38" w:rsidRPr="00AD3E38" w:rsidRDefault="00AD3E38" w:rsidP="00AF774A">
            <w:pPr>
              <w:spacing w:after="240"/>
              <w:rPr>
                <w:rFonts w:ascii="Century Gothic" w:eastAsia="Times New Roman" w:hAnsi="Century Gothic" w:cs="Times New Roman"/>
                <w:kern w:val="0"/>
                <w:sz w:val="18"/>
                <w:szCs w:val="18"/>
                <w:lang w:eastAsia="en-GB"/>
                <w14:ligatures w14:val="none"/>
              </w:rPr>
            </w:pPr>
            <w:r w:rsidRPr="00AD3E38">
              <w:rPr>
                <w:rFonts w:ascii="Century Gothic" w:eastAsia="Times New Roman" w:hAnsi="Century Gothic" w:cs="Times New Roman"/>
                <w:kern w:val="0"/>
                <w:sz w:val="18"/>
                <w:szCs w:val="18"/>
                <w:lang w:eastAsia="en-GB"/>
                <w14:ligatures w14:val="none"/>
              </w:rPr>
              <w:t>8:30 - 9:00</w:t>
            </w:r>
          </w:p>
        </w:tc>
        <w:tc>
          <w:tcPr>
            <w:tcW w:w="0" w:type="auto"/>
            <w:gridSpan w:val="2"/>
            <w:tcBorders>
              <w:bottom w:val="single" w:sz="6" w:space="0" w:color="E0D1C3"/>
              <w:right w:val="single" w:sz="6" w:space="0" w:color="E0D1C3"/>
            </w:tcBorders>
            <w:shd w:val="clear" w:color="auto" w:fill="EFCEBE"/>
            <w:tcMar>
              <w:top w:w="0" w:type="dxa"/>
              <w:left w:w="45" w:type="dxa"/>
              <w:bottom w:w="0" w:type="dxa"/>
              <w:right w:w="45" w:type="dxa"/>
            </w:tcMar>
            <w:vAlign w:val="center"/>
            <w:hideMark/>
          </w:tcPr>
          <w:p w14:paraId="1C276DC8" w14:textId="77777777"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r w:rsidRPr="009C6A92">
              <w:rPr>
                <w:rFonts w:ascii="Century Gothic" w:eastAsia="Times New Roman" w:hAnsi="Century Gothic" w:cs="Times New Roman"/>
                <w:i/>
                <w:iCs/>
                <w:kern w:val="0"/>
                <w:sz w:val="16"/>
                <w:szCs w:val="16"/>
                <w:lang w:eastAsia="en-GB"/>
                <w14:ligatures w14:val="none"/>
              </w:rPr>
              <w:t>Registration</w:t>
            </w:r>
          </w:p>
          <w:p w14:paraId="57BBE434" w14:textId="24F8EDDC" w:rsidR="00AD3E38" w:rsidRPr="009C6A92" w:rsidRDefault="00AD3E38" w:rsidP="00AF774A">
            <w:pPr>
              <w:spacing w:after="240"/>
              <w:jc w:val="center"/>
              <w:rPr>
                <w:rFonts w:ascii="Century Gothic" w:eastAsia="Times New Roman" w:hAnsi="Century Gothic" w:cs="Times New Roman"/>
                <w:kern w:val="0"/>
                <w:sz w:val="16"/>
                <w:szCs w:val="16"/>
                <w:lang w:eastAsia="en-GB"/>
                <w14:ligatures w14:val="none"/>
              </w:rPr>
            </w:pPr>
            <w:r w:rsidRPr="009C6A92">
              <w:rPr>
                <w:rFonts w:ascii="Century Gothic" w:eastAsia="Times New Roman" w:hAnsi="Century Gothic" w:cs="Times New Roman"/>
                <w:kern w:val="0"/>
                <w:sz w:val="16"/>
                <w:szCs w:val="16"/>
                <w:lang w:eastAsia="en-GB"/>
                <w14:ligatures w14:val="none"/>
              </w:rPr>
              <w:t xml:space="preserve">Collect conference pack and name badge from registration desk </w:t>
            </w:r>
            <w:r w:rsidRPr="009C6A92">
              <w:rPr>
                <w:rFonts w:ascii="Century Gothic" w:eastAsia="Times New Roman" w:hAnsi="Century Gothic" w:cs="Times New Roman"/>
                <w:b/>
                <w:bCs/>
                <w:kern w:val="0"/>
                <w:sz w:val="16"/>
                <w:szCs w:val="16"/>
                <w:lang w:eastAsia="en-GB"/>
                <w14:ligatures w14:val="none"/>
              </w:rPr>
              <w:t>opposite the Learning Centre</w:t>
            </w:r>
            <w:r w:rsidRPr="009C6A92">
              <w:rPr>
                <w:rFonts w:ascii="Century Gothic" w:eastAsia="Times New Roman" w:hAnsi="Century Gothic" w:cs="Times New Roman"/>
                <w:kern w:val="0"/>
                <w:sz w:val="16"/>
                <w:szCs w:val="16"/>
                <w:lang w:eastAsia="en-GB"/>
                <w14:ligatures w14:val="none"/>
              </w:rPr>
              <w:t>, at the </w:t>
            </w:r>
            <w:r w:rsidRPr="009C6A92">
              <w:rPr>
                <w:rFonts w:ascii="Century Gothic" w:eastAsia="Times New Roman" w:hAnsi="Century Gothic" w:cs="Times New Roman"/>
                <w:b/>
                <w:bCs/>
                <w:kern w:val="0"/>
                <w:sz w:val="16"/>
                <w:szCs w:val="16"/>
                <w:lang w:eastAsia="en-GB"/>
                <w14:ligatures w14:val="none"/>
              </w:rPr>
              <w:t>North Entrance</w:t>
            </w:r>
            <w:r w:rsidRPr="009C6A92">
              <w:rPr>
                <w:rFonts w:ascii="Century Gothic" w:eastAsia="Times New Roman" w:hAnsi="Century Gothic" w:cs="Times New Roman"/>
                <w:kern w:val="0"/>
                <w:sz w:val="16"/>
                <w:szCs w:val="16"/>
                <w:lang w:eastAsia="en-GB"/>
                <w14:ligatures w14:val="none"/>
              </w:rPr>
              <w:t>.</w:t>
            </w:r>
          </w:p>
          <w:p w14:paraId="3B63E6DE" w14:textId="42E34C75" w:rsidR="00AD3E38" w:rsidRPr="009C6A92" w:rsidRDefault="00AD3E38" w:rsidP="00AF774A">
            <w:pPr>
              <w:spacing w:after="240"/>
              <w:jc w:val="center"/>
              <w:rPr>
                <w:rFonts w:ascii="Century Gothic" w:eastAsia="Times New Roman" w:hAnsi="Century Gothic" w:cs="Times New Roman"/>
                <w:kern w:val="0"/>
                <w:sz w:val="16"/>
                <w:szCs w:val="16"/>
                <w:lang w:eastAsia="en-GB"/>
                <w14:ligatures w14:val="none"/>
              </w:rPr>
            </w:pPr>
            <w:r w:rsidRPr="009C6A92">
              <w:rPr>
                <w:rFonts w:ascii="Century Gothic" w:eastAsia="Times New Roman" w:hAnsi="Century Gothic" w:cs="Times New Roman"/>
                <w:kern w:val="0"/>
                <w:sz w:val="16"/>
                <w:szCs w:val="16"/>
                <w:lang w:eastAsia="en-GB"/>
                <w14:ligatures w14:val="none"/>
              </w:rPr>
              <w:t>The Cafe and Coffee Bar will be open from 8:00</w:t>
            </w:r>
          </w:p>
          <w:p w14:paraId="2B823736" w14:textId="2FAB3FD0" w:rsidR="00AD3E38" w:rsidRPr="009C6A92" w:rsidRDefault="00AD3E38" w:rsidP="00AF774A">
            <w:pPr>
              <w:spacing w:after="240"/>
              <w:jc w:val="center"/>
              <w:rPr>
                <w:rFonts w:ascii="Century Gothic" w:eastAsia="Times New Roman" w:hAnsi="Century Gothic" w:cs="Times New Roman"/>
                <w:kern w:val="0"/>
                <w:sz w:val="16"/>
                <w:szCs w:val="16"/>
                <w:lang w:eastAsia="en-GB"/>
                <w14:ligatures w14:val="none"/>
              </w:rPr>
            </w:pPr>
          </w:p>
        </w:tc>
        <w:tc>
          <w:tcPr>
            <w:tcW w:w="0" w:type="auto"/>
            <w:shd w:val="clear" w:color="auto" w:fill="E3EBE7"/>
            <w:tcMar>
              <w:top w:w="0" w:type="dxa"/>
              <w:left w:w="45" w:type="dxa"/>
              <w:bottom w:w="0" w:type="dxa"/>
              <w:right w:w="45" w:type="dxa"/>
            </w:tcMar>
            <w:vAlign w:val="center"/>
            <w:hideMark/>
          </w:tcPr>
          <w:p w14:paraId="3D8CCE69" w14:textId="77777777" w:rsidR="00AD3E38" w:rsidRPr="00AD3E38" w:rsidRDefault="00AD3E38" w:rsidP="00AF774A">
            <w:pPr>
              <w:spacing w:after="240"/>
              <w:jc w:val="center"/>
              <w:rPr>
                <w:rFonts w:ascii="Century Gothic" w:eastAsia="Times New Roman" w:hAnsi="Century Gothic" w:cs="Times New Roman"/>
                <w:kern w:val="0"/>
                <w:sz w:val="18"/>
                <w:szCs w:val="18"/>
                <w:lang w:eastAsia="en-GB"/>
                <w14:ligatures w14:val="none"/>
              </w:rPr>
            </w:pPr>
          </w:p>
        </w:tc>
      </w:tr>
      <w:tr w:rsidR="00AD3E38" w:rsidRPr="00AD3E38" w14:paraId="77FD31CE" w14:textId="77777777" w:rsidTr="00AD3E38">
        <w:trPr>
          <w:trHeight w:val="1370"/>
          <w:tblCellSpacing w:w="0" w:type="dxa"/>
        </w:trPr>
        <w:tc>
          <w:tcPr>
            <w:tcW w:w="0" w:type="auto"/>
            <w:tcBorders>
              <w:right w:val="single" w:sz="6" w:space="0" w:color="E0D1C3"/>
            </w:tcBorders>
            <w:shd w:val="clear" w:color="auto" w:fill="E3EBE7"/>
            <w:tcMar>
              <w:top w:w="0" w:type="dxa"/>
              <w:left w:w="45" w:type="dxa"/>
              <w:bottom w:w="0" w:type="dxa"/>
              <w:right w:w="45" w:type="dxa"/>
            </w:tcMar>
            <w:vAlign w:val="center"/>
            <w:hideMark/>
          </w:tcPr>
          <w:p w14:paraId="2C0BB795"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tcBorders>
              <w:bottom w:val="single" w:sz="6" w:space="0" w:color="E0D1C3"/>
              <w:right w:val="single" w:sz="6" w:space="0" w:color="E0D1C3"/>
            </w:tcBorders>
            <w:shd w:val="clear" w:color="auto" w:fill="FFFFFF"/>
            <w:tcMar>
              <w:top w:w="0" w:type="dxa"/>
              <w:left w:w="45" w:type="dxa"/>
              <w:bottom w:w="0" w:type="dxa"/>
              <w:right w:w="45" w:type="dxa"/>
            </w:tcMar>
            <w:vAlign w:val="center"/>
            <w:hideMark/>
          </w:tcPr>
          <w:p w14:paraId="588EA093" w14:textId="77777777" w:rsidR="00AD3E38" w:rsidRPr="00AD3E38" w:rsidRDefault="00AD3E38" w:rsidP="00AF774A">
            <w:pPr>
              <w:spacing w:after="240"/>
              <w:rPr>
                <w:rFonts w:ascii="Century Gothic" w:eastAsia="Times New Roman" w:hAnsi="Century Gothic" w:cs="Times New Roman"/>
                <w:kern w:val="0"/>
                <w:sz w:val="18"/>
                <w:szCs w:val="18"/>
                <w:lang w:eastAsia="en-GB"/>
                <w14:ligatures w14:val="none"/>
              </w:rPr>
            </w:pPr>
            <w:r w:rsidRPr="00AD3E38">
              <w:rPr>
                <w:rFonts w:ascii="Century Gothic" w:eastAsia="Times New Roman" w:hAnsi="Century Gothic" w:cs="Times New Roman"/>
                <w:kern w:val="0"/>
                <w:sz w:val="18"/>
                <w:szCs w:val="18"/>
                <w:lang w:eastAsia="en-GB"/>
                <w14:ligatures w14:val="none"/>
              </w:rPr>
              <w:t>9:00 - 9:10</w:t>
            </w:r>
          </w:p>
        </w:tc>
        <w:tc>
          <w:tcPr>
            <w:tcW w:w="0" w:type="auto"/>
            <w:gridSpan w:val="2"/>
            <w:tcBorders>
              <w:bottom w:val="single" w:sz="6" w:space="0" w:color="E0D1C3"/>
            </w:tcBorders>
            <w:shd w:val="clear" w:color="auto" w:fill="DEF2EE"/>
            <w:tcMar>
              <w:top w:w="0" w:type="dxa"/>
              <w:left w:w="45" w:type="dxa"/>
              <w:bottom w:w="0" w:type="dxa"/>
              <w:right w:w="45" w:type="dxa"/>
            </w:tcMar>
            <w:vAlign w:val="center"/>
            <w:hideMark/>
          </w:tcPr>
          <w:p w14:paraId="0DA1ABFC" w14:textId="77777777"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p>
          <w:p w14:paraId="4A4E6103" w14:textId="0F06A982"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r w:rsidRPr="009C6A92">
              <w:rPr>
                <w:rFonts w:ascii="Century Gothic" w:eastAsia="Times New Roman" w:hAnsi="Century Gothic" w:cs="Times New Roman"/>
                <w:i/>
                <w:iCs/>
                <w:kern w:val="0"/>
                <w:sz w:val="16"/>
                <w:szCs w:val="16"/>
                <w:lang w:eastAsia="en-GB"/>
                <w14:ligatures w14:val="none"/>
              </w:rPr>
              <w:t>Welcome Remarks </w:t>
            </w:r>
          </w:p>
          <w:p w14:paraId="374150E6" w14:textId="78DC9F97" w:rsidR="00AD3E38" w:rsidRPr="009C6A92" w:rsidRDefault="00AD3E38" w:rsidP="00AF774A">
            <w:pPr>
              <w:spacing w:after="240"/>
              <w:jc w:val="center"/>
              <w:rPr>
                <w:rFonts w:ascii="Century Gothic" w:eastAsia="Times New Roman" w:hAnsi="Century Gothic" w:cs="Times New Roman"/>
                <w:kern w:val="0"/>
                <w:sz w:val="16"/>
                <w:szCs w:val="16"/>
                <w:lang w:eastAsia="en-GB"/>
                <w14:ligatures w14:val="none"/>
              </w:rPr>
            </w:pPr>
            <w:r w:rsidRPr="009C6A92">
              <w:rPr>
                <w:rFonts w:ascii="Century Gothic" w:eastAsia="Times New Roman" w:hAnsi="Century Gothic" w:cs="Times New Roman"/>
                <w:kern w:val="0"/>
                <w:sz w:val="16"/>
                <w:szCs w:val="16"/>
                <w:lang w:eastAsia="en-GB"/>
                <w14:ligatures w14:val="none"/>
              </w:rPr>
              <w:t>Helena C. Aeberli on behalf of the Body in History Team</w:t>
            </w:r>
          </w:p>
          <w:p w14:paraId="4D87DF90" w14:textId="3B70FE68" w:rsidR="00C70EBF" w:rsidRPr="009C6A92" w:rsidRDefault="00AD3E38" w:rsidP="003C7622">
            <w:pPr>
              <w:spacing w:after="240"/>
              <w:jc w:val="center"/>
              <w:rPr>
                <w:rFonts w:ascii="Century Gothic" w:eastAsia="Times New Roman" w:hAnsi="Century Gothic" w:cs="Times New Roman"/>
                <w:kern w:val="0"/>
                <w:sz w:val="16"/>
                <w:szCs w:val="16"/>
                <w:lang w:eastAsia="en-GB"/>
                <w14:ligatures w14:val="none"/>
              </w:rPr>
            </w:pPr>
            <w:r w:rsidRPr="009C6A92">
              <w:rPr>
                <w:rFonts w:ascii="Century Gothic" w:eastAsia="Times New Roman" w:hAnsi="Century Gothic" w:cs="Times New Roman"/>
                <w:kern w:val="0"/>
                <w:sz w:val="16"/>
                <w:szCs w:val="16"/>
                <w:lang w:eastAsia="en-GB"/>
                <w14:ligatures w14:val="none"/>
              </w:rPr>
              <w:t>In the </w:t>
            </w:r>
            <w:r w:rsidRPr="009C6A92">
              <w:rPr>
                <w:rFonts w:ascii="Century Gothic" w:eastAsia="Times New Roman" w:hAnsi="Century Gothic" w:cs="Times New Roman"/>
                <w:b/>
                <w:bCs/>
                <w:kern w:val="0"/>
                <w:sz w:val="16"/>
                <w:szCs w:val="16"/>
                <w:lang w:eastAsia="en-GB"/>
                <w14:ligatures w14:val="none"/>
              </w:rPr>
              <w:t>Learning Centre</w:t>
            </w:r>
            <w:r w:rsidRPr="009C6A92">
              <w:rPr>
                <w:rFonts w:ascii="Century Gothic" w:eastAsia="Times New Roman" w:hAnsi="Century Gothic" w:cs="Times New Roman"/>
                <w:kern w:val="0"/>
                <w:sz w:val="16"/>
                <w:szCs w:val="16"/>
                <w:lang w:eastAsia="en-GB"/>
                <w14:ligatures w14:val="none"/>
              </w:rPr>
              <w:t> </w:t>
            </w:r>
          </w:p>
          <w:p w14:paraId="72B3123F" w14:textId="24359928"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p>
        </w:tc>
        <w:tc>
          <w:tcPr>
            <w:tcW w:w="0" w:type="auto"/>
            <w:shd w:val="clear" w:color="auto" w:fill="E3EBE7"/>
            <w:tcMar>
              <w:top w:w="0" w:type="dxa"/>
              <w:left w:w="45" w:type="dxa"/>
              <w:bottom w:w="0" w:type="dxa"/>
              <w:right w:w="45" w:type="dxa"/>
            </w:tcMar>
            <w:vAlign w:val="center"/>
            <w:hideMark/>
          </w:tcPr>
          <w:p w14:paraId="5ACFFBD6" w14:textId="77777777" w:rsidR="00AD3E38" w:rsidRP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p>
        </w:tc>
      </w:tr>
      <w:tr w:rsidR="00AD3E38" w:rsidRPr="00AD3E38" w14:paraId="1FAD60AE" w14:textId="77777777" w:rsidTr="00AD3E38">
        <w:trPr>
          <w:trHeight w:val="2423"/>
          <w:tblCellSpacing w:w="0" w:type="dxa"/>
        </w:trPr>
        <w:tc>
          <w:tcPr>
            <w:tcW w:w="0" w:type="auto"/>
            <w:tcBorders>
              <w:right w:val="single" w:sz="6" w:space="0" w:color="E0D1C3"/>
            </w:tcBorders>
            <w:shd w:val="clear" w:color="auto" w:fill="E3EBE7"/>
            <w:tcMar>
              <w:top w:w="0" w:type="dxa"/>
              <w:left w:w="45" w:type="dxa"/>
              <w:bottom w:w="0" w:type="dxa"/>
              <w:right w:w="45" w:type="dxa"/>
            </w:tcMar>
            <w:vAlign w:val="center"/>
            <w:hideMark/>
          </w:tcPr>
          <w:p w14:paraId="476CAFB6"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tcBorders>
              <w:bottom w:val="single" w:sz="6" w:space="0" w:color="E0D1C3"/>
              <w:right w:val="single" w:sz="6" w:space="0" w:color="E0D1C3"/>
            </w:tcBorders>
            <w:shd w:val="clear" w:color="auto" w:fill="FFFFFF"/>
            <w:tcMar>
              <w:top w:w="0" w:type="dxa"/>
              <w:left w:w="45" w:type="dxa"/>
              <w:bottom w:w="0" w:type="dxa"/>
              <w:right w:w="45" w:type="dxa"/>
            </w:tcMar>
            <w:vAlign w:val="center"/>
            <w:hideMark/>
          </w:tcPr>
          <w:p w14:paraId="2F9DA6F8" w14:textId="77777777" w:rsidR="00AD3E38" w:rsidRPr="00AD3E38" w:rsidRDefault="00AD3E38" w:rsidP="00AF774A">
            <w:pPr>
              <w:spacing w:after="240"/>
              <w:rPr>
                <w:rFonts w:ascii="Century Gothic" w:eastAsia="Times New Roman" w:hAnsi="Century Gothic" w:cs="Times New Roman"/>
                <w:kern w:val="0"/>
                <w:sz w:val="18"/>
                <w:szCs w:val="18"/>
                <w:lang w:eastAsia="en-GB"/>
                <w14:ligatures w14:val="none"/>
              </w:rPr>
            </w:pPr>
            <w:r w:rsidRPr="00AD3E38">
              <w:rPr>
                <w:rFonts w:ascii="Century Gothic" w:eastAsia="Times New Roman" w:hAnsi="Century Gothic" w:cs="Times New Roman"/>
                <w:kern w:val="0"/>
                <w:sz w:val="18"/>
                <w:szCs w:val="18"/>
                <w:lang w:eastAsia="en-GB"/>
                <w14:ligatures w14:val="none"/>
              </w:rPr>
              <w:t>9:10 - 10:25</w:t>
            </w:r>
          </w:p>
        </w:tc>
        <w:tc>
          <w:tcPr>
            <w:tcW w:w="4810" w:type="dxa"/>
            <w:tcBorders>
              <w:bottom w:val="single" w:sz="6" w:space="0" w:color="E0D1C3"/>
              <w:right w:val="single" w:sz="6" w:space="0" w:color="E0D1C3"/>
            </w:tcBorders>
            <w:shd w:val="clear" w:color="auto" w:fill="F7E6DE"/>
            <w:tcMar>
              <w:top w:w="0" w:type="dxa"/>
              <w:left w:w="45" w:type="dxa"/>
              <w:bottom w:w="0" w:type="dxa"/>
              <w:right w:w="45" w:type="dxa"/>
            </w:tcMar>
            <w:vAlign w:val="center"/>
            <w:hideMark/>
          </w:tcPr>
          <w:p w14:paraId="506F5F20" w14:textId="77777777"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p>
          <w:p w14:paraId="4EF978A8" w14:textId="77777777"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r w:rsidRPr="009C6A92">
              <w:rPr>
                <w:rFonts w:ascii="Century Gothic" w:eastAsia="Times New Roman" w:hAnsi="Century Gothic" w:cs="Times New Roman"/>
                <w:i/>
                <w:iCs/>
                <w:kern w:val="0"/>
                <w:sz w:val="16"/>
                <w:szCs w:val="16"/>
                <w:lang w:eastAsia="en-GB"/>
                <w14:ligatures w14:val="none"/>
              </w:rPr>
              <w:t>Panel 1: The Institutionalised Body </w:t>
            </w:r>
            <w:r w:rsidRPr="009C6A92">
              <w:rPr>
                <w:rFonts w:ascii="Century Gothic" w:eastAsia="Times New Roman" w:hAnsi="Century Gothic" w:cs="Times New Roman"/>
                <w:i/>
                <w:iCs/>
                <w:kern w:val="0"/>
                <w:sz w:val="16"/>
                <w:szCs w:val="16"/>
                <w:lang w:eastAsia="en-GB"/>
                <w14:ligatures w14:val="none"/>
              </w:rPr>
              <w:br/>
            </w:r>
            <w:r w:rsidRPr="009C6A92">
              <w:rPr>
                <w:rFonts w:ascii="Century Gothic" w:eastAsia="Times New Roman" w:hAnsi="Century Gothic" w:cs="Times New Roman"/>
                <w:i/>
                <w:iCs/>
                <w:kern w:val="0"/>
                <w:sz w:val="16"/>
                <w:szCs w:val="16"/>
                <w:lang w:eastAsia="en-GB"/>
                <w14:ligatures w14:val="none"/>
              </w:rPr>
              <w:br/>
            </w:r>
            <w:r w:rsidRPr="009C6A92">
              <w:rPr>
                <w:rFonts w:ascii="Century Gothic" w:eastAsia="Times New Roman" w:hAnsi="Century Gothic" w:cs="Times New Roman"/>
                <w:kern w:val="0"/>
                <w:sz w:val="16"/>
                <w:szCs w:val="16"/>
                <w:lang w:eastAsia="en-GB"/>
                <w14:ligatures w14:val="none"/>
              </w:rPr>
              <w:t>'Between Instrument and Sabotage: The Captive Body in German Prisoner of War Camps' (Sarah J Bremer, University of Wolverhamptom)</w:t>
            </w:r>
            <w:r w:rsidRPr="009C6A92">
              <w:rPr>
                <w:rFonts w:ascii="Century Gothic" w:eastAsia="Times New Roman" w:hAnsi="Century Gothic" w:cs="Times New Roman"/>
                <w:kern w:val="0"/>
                <w:sz w:val="16"/>
                <w:szCs w:val="16"/>
                <w:lang w:eastAsia="en-GB"/>
                <w14:ligatures w14:val="none"/>
              </w:rPr>
              <w:br/>
            </w:r>
            <w:r w:rsidRPr="009C6A92">
              <w:rPr>
                <w:rFonts w:ascii="Century Gothic" w:eastAsia="Times New Roman" w:hAnsi="Century Gothic" w:cs="Times New Roman"/>
                <w:kern w:val="0"/>
                <w:sz w:val="16"/>
                <w:szCs w:val="16"/>
                <w:lang w:eastAsia="en-GB"/>
                <w14:ligatures w14:val="none"/>
              </w:rPr>
              <w:br/>
              <w:t>'The Standard of Living of Female Offenders in Durham, Newcastle and County of York 1853-1888' (Kerri Armstrong, Northumbria University)</w:t>
            </w:r>
            <w:r w:rsidRPr="009C6A92">
              <w:rPr>
                <w:rFonts w:ascii="Century Gothic" w:eastAsia="Times New Roman" w:hAnsi="Century Gothic" w:cs="Times New Roman"/>
                <w:kern w:val="0"/>
                <w:sz w:val="16"/>
                <w:szCs w:val="16"/>
                <w:lang w:eastAsia="en-GB"/>
                <w14:ligatures w14:val="none"/>
              </w:rPr>
              <w:br/>
            </w:r>
            <w:r w:rsidRPr="009C6A92">
              <w:rPr>
                <w:rFonts w:ascii="Century Gothic" w:eastAsia="Times New Roman" w:hAnsi="Century Gothic" w:cs="Times New Roman"/>
                <w:kern w:val="0"/>
                <w:sz w:val="16"/>
                <w:szCs w:val="16"/>
                <w:lang w:eastAsia="en-GB"/>
                <w14:ligatures w14:val="none"/>
              </w:rPr>
              <w:br/>
              <w:t>'‘We endeavour in every possible way to restore them physically’: The Metropolitan Police Home and the care of sexually abused girls in early 20th century London' (Seonaid Anthoney, Independent Researcher)</w:t>
            </w:r>
          </w:p>
          <w:p w14:paraId="4E1B475E" w14:textId="029CB243"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p>
        </w:tc>
        <w:tc>
          <w:tcPr>
            <w:tcW w:w="4549" w:type="dxa"/>
            <w:tcBorders>
              <w:bottom w:val="single" w:sz="6" w:space="0" w:color="E0D1C3"/>
              <w:right w:val="single" w:sz="6" w:space="0" w:color="E0D1C3"/>
            </w:tcBorders>
            <w:shd w:val="clear" w:color="auto" w:fill="F4EFEB"/>
            <w:tcMar>
              <w:top w:w="0" w:type="dxa"/>
              <w:left w:w="45" w:type="dxa"/>
              <w:bottom w:w="0" w:type="dxa"/>
              <w:right w:w="45" w:type="dxa"/>
            </w:tcMar>
            <w:vAlign w:val="center"/>
            <w:hideMark/>
          </w:tcPr>
          <w:p w14:paraId="078DC1BC" w14:textId="77777777" w:rsidR="00AD3E38" w:rsidRP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r w:rsidRPr="00AD3E38">
              <w:rPr>
                <w:rFonts w:ascii="Century Gothic" w:eastAsia="Times New Roman" w:hAnsi="Century Gothic" w:cs="Times New Roman"/>
                <w:i/>
                <w:iCs/>
                <w:kern w:val="0"/>
                <w:sz w:val="18"/>
                <w:szCs w:val="18"/>
                <w:lang w:eastAsia="en-GB"/>
                <w14:ligatures w14:val="none"/>
              </w:rPr>
              <w:t>Panel 2: The Body in Performance</w:t>
            </w:r>
            <w:r w:rsidRPr="00AD3E38">
              <w:rPr>
                <w:rFonts w:ascii="Century Gothic" w:eastAsia="Times New Roman" w:hAnsi="Century Gothic" w:cs="Times New Roman"/>
                <w:i/>
                <w:iCs/>
                <w:kern w:val="0"/>
                <w:sz w:val="18"/>
                <w:szCs w:val="18"/>
                <w:lang w:eastAsia="en-GB"/>
                <w14:ligatures w14:val="none"/>
              </w:rPr>
              <w:br/>
            </w:r>
            <w:r w:rsidRPr="00AD3E38">
              <w:rPr>
                <w:rFonts w:ascii="Century Gothic" w:eastAsia="Times New Roman" w:hAnsi="Century Gothic" w:cs="Times New Roman"/>
                <w:i/>
                <w:iCs/>
                <w:kern w:val="0"/>
                <w:sz w:val="18"/>
                <w:szCs w:val="18"/>
                <w:lang w:eastAsia="en-GB"/>
                <w14:ligatures w14:val="none"/>
              </w:rPr>
              <w:br/>
            </w:r>
            <w:r w:rsidRPr="00C70EBF">
              <w:rPr>
                <w:rFonts w:ascii="Century Gothic" w:eastAsia="Times New Roman" w:hAnsi="Century Gothic" w:cs="Times New Roman"/>
                <w:kern w:val="0"/>
                <w:sz w:val="18"/>
                <w:szCs w:val="18"/>
                <w:lang w:eastAsia="en-GB"/>
                <w14:ligatures w14:val="none"/>
              </w:rPr>
              <w:t>'Wigs, Headpieces, Makeup: Stepping out of Ethnicity, Going Beyond Human in Ballet' (Linda Kvitkina, University of Oxford)</w:t>
            </w:r>
            <w:r w:rsidRPr="00C70EBF">
              <w:rPr>
                <w:rFonts w:ascii="Century Gothic" w:eastAsia="Times New Roman" w:hAnsi="Century Gothic" w:cs="Times New Roman"/>
                <w:kern w:val="0"/>
                <w:sz w:val="18"/>
                <w:szCs w:val="18"/>
                <w:lang w:eastAsia="en-GB"/>
                <w14:ligatures w14:val="none"/>
              </w:rPr>
              <w:br/>
            </w:r>
            <w:r w:rsidRPr="00C70EBF">
              <w:rPr>
                <w:rFonts w:ascii="Century Gothic" w:eastAsia="Times New Roman" w:hAnsi="Century Gothic" w:cs="Times New Roman"/>
                <w:kern w:val="0"/>
                <w:sz w:val="18"/>
                <w:szCs w:val="18"/>
                <w:lang w:eastAsia="en-GB"/>
                <w14:ligatures w14:val="none"/>
              </w:rPr>
              <w:br/>
              <w:t>'Barbara T. Smith’s </w:t>
            </w:r>
            <w:r w:rsidRPr="00C70EBF">
              <w:rPr>
                <w:rFonts w:ascii="Century Gothic" w:eastAsia="Times New Roman" w:hAnsi="Century Gothic" w:cs="Times New Roman"/>
                <w:i/>
                <w:iCs/>
                <w:kern w:val="0"/>
                <w:sz w:val="18"/>
                <w:szCs w:val="18"/>
                <w:lang w:eastAsia="en-GB"/>
                <w14:ligatures w14:val="none"/>
              </w:rPr>
              <w:t>I Am Abandoned</w:t>
            </w:r>
            <w:r w:rsidRPr="00C70EBF">
              <w:rPr>
                <w:rFonts w:ascii="Century Gothic" w:eastAsia="Times New Roman" w:hAnsi="Century Gothic" w:cs="Times New Roman"/>
                <w:kern w:val="0"/>
                <w:sz w:val="18"/>
                <w:szCs w:val="18"/>
                <w:lang w:eastAsia="en-GB"/>
                <w14:ligatures w14:val="none"/>
              </w:rPr>
              <w:t> (1976): Embodiment in the Imbrication of Art and Artificial Intelligence'' (Anna Mayer, The Courtauld)</w:t>
            </w:r>
            <w:r w:rsidRPr="00C70EBF">
              <w:rPr>
                <w:rFonts w:ascii="Century Gothic" w:eastAsia="Times New Roman" w:hAnsi="Century Gothic" w:cs="Times New Roman"/>
                <w:kern w:val="0"/>
                <w:sz w:val="18"/>
                <w:szCs w:val="18"/>
                <w:lang w:eastAsia="en-GB"/>
                <w14:ligatures w14:val="none"/>
              </w:rPr>
              <w:br/>
            </w:r>
            <w:r w:rsidRPr="00C70EBF">
              <w:rPr>
                <w:rFonts w:ascii="Century Gothic" w:eastAsia="Times New Roman" w:hAnsi="Century Gothic" w:cs="Times New Roman"/>
                <w:kern w:val="0"/>
                <w:sz w:val="18"/>
                <w:szCs w:val="18"/>
                <w:lang w:eastAsia="en-GB"/>
                <w14:ligatures w14:val="none"/>
              </w:rPr>
              <w:br/>
              <w:t>'Body Art Between Action and Performance: Reconsidering Embodiment at Moltkerei Werkstatt' (Anja Segmuller, University of Oxford)</w:t>
            </w:r>
          </w:p>
        </w:tc>
        <w:tc>
          <w:tcPr>
            <w:tcW w:w="0" w:type="auto"/>
            <w:shd w:val="clear" w:color="auto" w:fill="E3EBE7"/>
            <w:tcMar>
              <w:top w:w="0" w:type="dxa"/>
              <w:left w:w="45" w:type="dxa"/>
              <w:bottom w:w="0" w:type="dxa"/>
              <w:right w:w="45" w:type="dxa"/>
            </w:tcMar>
            <w:vAlign w:val="center"/>
            <w:hideMark/>
          </w:tcPr>
          <w:p w14:paraId="644E01F1" w14:textId="77777777" w:rsidR="00AD3E38" w:rsidRP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p>
        </w:tc>
      </w:tr>
      <w:tr w:rsidR="00AD3E38" w:rsidRPr="00AD3E38" w14:paraId="79909F57" w14:textId="77777777" w:rsidTr="00AD3E38">
        <w:trPr>
          <w:trHeight w:val="2728"/>
          <w:tblCellSpacing w:w="0" w:type="dxa"/>
        </w:trPr>
        <w:tc>
          <w:tcPr>
            <w:tcW w:w="0" w:type="auto"/>
            <w:tcBorders>
              <w:right w:val="single" w:sz="6" w:space="0" w:color="E0D1C3"/>
            </w:tcBorders>
            <w:shd w:val="clear" w:color="auto" w:fill="E3EBE7"/>
            <w:tcMar>
              <w:top w:w="0" w:type="dxa"/>
              <w:left w:w="45" w:type="dxa"/>
              <w:bottom w:w="0" w:type="dxa"/>
              <w:right w:w="45" w:type="dxa"/>
            </w:tcMar>
            <w:vAlign w:val="center"/>
            <w:hideMark/>
          </w:tcPr>
          <w:p w14:paraId="5962BCCA"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tcBorders>
              <w:bottom w:val="single" w:sz="6" w:space="0" w:color="E0D1C3"/>
              <w:right w:val="single" w:sz="6" w:space="0" w:color="E0D1C3"/>
            </w:tcBorders>
            <w:shd w:val="clear" w:color="auto" w:fill="FFFFFF"/>
            <w:tcMar>
              <w:top w:w="0" w:type="dxa"/>
              <w:left w:w="45" w:type="dxa"/>
              <w:bottom w:w="0" w:type="dxa"/>
              <w:right w:w="45" w:type="dxa"/>
            </w:tcMar>
            <w:vAlign w:val="center"/>
            <w:hideMark/>
          </w:tcPr>
          <w:p w14:paraId="3BF17975" w14:textId="77777777" w:rsidR="00AD3E38" w:rsidRPr="00AD3E38" w:rsidRDefault="00AD3E38" w:rsidP="00AF774A">
            <w:pPr>
              <w:spacing w:after="240"/>
              <w:rPr>
                <w:rFonts w:ascii="Century Gothic" w:eastAsia="Times New Roman" w:hAnsi="Century Gothic" w:cs="Times New Roman"/>
                <w:kern w:val="0"/>
                <w:sz w:val="18"/>
                <w:szCs w:val="18"/>
                <w:lang w:eastAsia="en-GB"/>
                <w14:ligatures w14:val="none"/>
              </w:rPr>
            </w:pPr>
            <w:r w:rsidRPr="00AD3E38">
              <w:rPr>
                <w:rFonts w:ascii="Century Gothic" w:eastAsia="Times New Roman" w:hAnsi="Century Gothic" w:cs="Times New Roman"/>
                <w:kern w:val="0"/>
                <w:sz w:val="18"/>
                <w:szCs w:val="18"/>
                <w:lang w:eastAsia="en-GB"/>
                <w14:ligatures w14:val="none"/>
              </w:rPr>
              <w:t>10:30 - 11:45</w:t>
            </w:r>
          </w:p>
        </w:tc>
        <w:tc>
          <w:tcPr>
            <w:tcW w:w="4810" w:type="dxa"/>
            <w:tcBorders>
              <w:bottom w:val="single" w:sz="6" w:space="0" w:color="E0D1C3"/>
              <w:right w:val="single" w:sz="6" w:space="0" w:color="E0D1C3"/>
            </w:tcBorders>
            <w:shd w:val="clear" w:color="auto" w:fill="F7E6DE"/>
            <w:tcMar>
              <w:top w:w="0" w:type="dxa"/>
              <w:left w:w="45" w:type="dxa"/>
              <w:bottom w:w="0" w:type="dxa"/>
              <w:right w:w="45" w:type="dxa"/>
            </w:tcMar>
            <w:vAlign w:val="center"/>
            <w:hideMark/>
          </w:tcPr>
          <w:p w14:paraId="2303194D" w14:textId="5CC215D8" w:rsidR="00C70EBF" w:rsidRPr="009C6A92" w:rsidRDefault="00AD3E38" w:rsidP="003C7622">
            <w:pPr>
              <w:spacing w:after="240"/>
              <w:jc w:val="center"/>
              <w:rPr>
                <w:rFonts w:ascii="Century Gothic" w:eastAsia="Times New Roman" w:hAnsi="Century Gothic" w:cs="Times New Roman"/>
                <w:i/>
                <w:iCs/>
                <w:kern w:val="0"/>
                <w:sz w:val="16"/>
                <w:szCs w:val="16"/>
                <w:lang w:eastAsia="en-GB"/>
                <w14:ligatures w14:val="none"/>
              </w:rPr>
            </w:pPr>
            <w:r w:rsidRPr="009C6A92">
              <w:rPr>
                <w:rFonts w:ascii="Century Gothic" w:eastAsia="Times New Roman" w:hAnsi="Century Gothic" w:cs="Times New Roman"/>
                <w:i/>
                <w:iCs/>
                <w:kern w:val="0"/>
                <w:sz w:val="16"/>
                <w:szCs w:val="16"/>
                <w:lang w:eastAsia="en-GB"/>
                <w14:ligatures w14:val="none"/>
              </w:rPr>
              <w:t>Panel 3: Representing the Body</w:t>
            </w:r>
            <w:r w:rsidRPr="009C6A92">
              <w:rPr>
                <w:rFonts w:ascii="Century Gothic" w:eastAsia="Times New Roman" w:hAnsi="Century Gothic" w:cs="Times New Roman"/>
                <w:i/>
                <w:iCs/>
                <w:kern w:val="0"/>
                <w:sz w:val="16"/>
                <w:szCs w:val="16"/>
                <w:lang w:eastAsia="en-GB"/>
                <w14:ligatures w14:val="none"/>
              </w:rPr>
              <w:br/>
            </w:r>
            <w:r w:rsidRPr="009C6A92">
              <w:rPr>
                <w:rFonts w:ascii="Century Gothic" w:eastAsia="Times New Roman" w:hAnsi="Century Gothic" w:cs="Times New Roman"/>
                <w:i/>
                <w:iCs/>
                <w:kern w:val="0"/>
                <w:sz w:val="16"/>
                <w:szCs w:val="16"/>
                <w:lang w:eastAsia="en-GB"/>
                <w14:ligatures w14:val="none"/>
              </w:rPr>
              <w:br/>
            </w:r>
            <w:r w:rsidRPr="009C6A92">
              <w:rPr>
                <w:rFonts w:ascii="Century Gothic" w:eastAsia="Times New Roman" w:hAnsi="Century Gothic" w:cs="Times New Roman"/>
                <w:kern w:val="0"/>
                <w:sz w:val="16"/>
                <w:szCs w:val="16"/>
                <w:lang w:eastAsia="en-GB"/>
                <w14:ligatures w14:val="none"/>
              </w:rPr>
              <w:t>'“Paris as a Gateway to Africa”: Négritude, Afro-Diasporic Communities Abroad, and Loïs Mailou Jones’s Modern Black Portraiture' (Devon Rosenberger, University of Oxford)</w:t>
            </w:r>
            <w:r w:rsidRPr="009C6A92">
              <w:rPr>
                <w:rFonts w:ascii="Century Gothic" w:eastAsia="Times New Roman" w:hAnsi="Century Gothic" w:cs="Times New Roman"/>
                <w:kern w:val="0"/>
                <w:sz w:val="16"/>
                <w:szCs w:val="16"/>
                <w:lang w:eastAsia="en-GB"/>
                <w14:ligatures w14:val="none"/>
              </w:rPr>
              <w:br/>
            </w:r>
            <w:r w:rsidRPr="009C6A92">
              <w:rPr>
                <w:rFonts w:ascii="Century Gothic" w:eastAsia="Times New Roman" w:hAnsi="Century Gothic" w:cs="Times New Roman"/>
                <w:kern w:val="0"/>
                <w:sz w:val="16"/>
                <w:szCs w:val="16"/>
                <w:lang w:eastAsia="en-GB"/>
                <w14:ligatures w14:val="none"/>
              </w:rPr>
              <w:br/>
              <w:t>'New Bodies, New Culture: Bodily Integration, Revolutionary Will, and the Politics of the Somatic in Maoist Propaganda Posters' (Qiyi Huang, New School for Social Research)</w:t>
            </w:r>
            <w:r w:rsidRPr="009C6A92">
              <w:rPr>
                <w:rFonts w:ascii="Century Gothic" w:eastAsia="Times New Roman" w:hAnsi="Century Gothic" w:cs="Times New Roman"/>
                <w:kern w:val="0"/>
                <w:sz w:val="16"/>
                <w:szCs w:val="16"/>
                <w:lang w:eastAsia="en-GB"/>
                <w14:ligatures w14:val="none"/>
              </w:rPr>
              <w:br/>
            </w:r>
            <w:r w:rsidRPr="009C6A92">
              <w:rPr>
                <w:rFonts w:ascii="Century Gothic" w:eastAsia="Times New Roman" w:hAnsi="Century Gothic" w:cs="Times New Roman"/>
                <w:kern w:val="0"/>
                <w:sz w:val="16"/>
                <w:szCs w:val="16"/>
                <w:lang w:eastAsia="en-GB"/>
                <w14:ligatures w14:val="none"/>
              </w:rPr>
              <w:br/>
              <w:t>'Display as Discipline: The Representation of the Female Body in Early Modern Anatomical Fugitive Sheets' (Hanne Berendse, University of Innsbruck and The Warburg Institute)</w:t>
            </w:r>
          </w:p>
          <w:p w14:paraId="39CD62CF" w14:textId="5396AB75" w:rsidR="00AD3E38" w:rsidRPr="009C6A92" w:rsidRDefault="00AD3E38" w:rsidP="003C7622">
            <w:pPr>
              <w:spacing w:after="240"/>
              <w:jc w:val="center"/>
              <w:rPr>
                <w:rFonts w:ascii="Century Gothic" w:eastAsia="Times New Roman" w:hAnsi="Century Gothic" w:cs="Times New Roman"/>
                <w:i/>
                <w:iCs/>
                <w:kern w:val="0"/>
                <w:sz w:val="16"/>
                <w:szCs w:val="16"/>
                <w:lang w:eastAsia="en-GB"/>
                <w14:ligatures w14:val="none"/>
              </w:rPr>
            </w:pPr>
          </w:p>
        </w:tc>
        <w:tc>
          <w:tcPr>
            <w:tcW w:w="4549" w:type="dxa"/>
            <w:tcBorders>
              <w:bottom w:val="single" w:sz="6" w:space="0" w:color="E0D1C3"/>
              <w:right w:val="single" w:sz="6" w:space="0" w:color="E0D1C3"/>
            </w:tcBorders>
            <w:shd w:val="clear" w:color="auto" w:fill="F4EFEB"/>
            <w:tcMar>
              <w:top w:w="0" w:type="dxa"/>
              <w:left w:w="45" w:type="dxa"/>
              <w:bottom w:w="0" w:type="dxa"/>
              <w:right w:w="45" w:type="dxa"/>
            </w:tcMar>
            <w:vAlign w:val="center"/>
            <w:hideMark/>
          </w:tcPr>
          <w:p w14:paraId="175468DB" w14:textId="77777777" w:rsidR="00AD3E38" w:rsidRP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r w:rsidRPr="00AD3E38">
              <w:rPr>
                <w:rFonts w:ascii="Century Gothic" w:eastAsia="Times New Roman" w:hAnsi="Century Gothic" w:cs="Times New Roman"/>
                <w:i/>
                <w:iCs/>
                <w:kern w:val="0"/>
                <w:sz w:val="18"/>
                <w:szCs w:val="18"/>
                <w:lang w:eastAsia="en-GB"/>
                <w14:ligatures w14:val="none"/>
              </w:rPr>
              <w:t>Panel 4: Writing Bodies and Writing the Body</w:t>
            </w:r>
            <w:r w:rsidRPr="00AD3E38">
              <w:rPr>
                <w:rFonts w:ascii="Century Gothic" w:eastAsia="Times New Roman" w:hAnsi="Century Gothic" w:cs="Times New Roman"/>
                <w:i/>
                <w:iCs/>
                <w:kern w:val="0"/>
                <w:sz w:val="18"/>
                <w:szCs w:val="18"/>
                <w:lang w:eastAsia="en-GB"/>
                <w14:ligatures w14:val="none"/>
              </w:rPr>
              <w:br/>
            </w:r>
            <w:r w:rsidRPr="00AD3E38">
              <w:rPr>
                <w:rFonts w:ascii="Century Gothic" w:eastAsia="Times New Roman" w:hAnsi="Century Gothic" w:cs="Times New Roman"/>
                <w:i/>
                <w:iCs/>
                <w:kern w:val="0"/>
                <w:sz w:val="18"/>
                <w:szCs w:val="18"/>
                <w:lang w:eastAsia="en-GB"/>
                <w14:ligatures w14:val="none"/>
              </w:rPr>
              <w:br/>
            </w:r>
            <w:r w:rsidRPr="00C70EBF">
              <w:rPr>
                <w:rFonts w:ascii="Century Gothic" w:eastAsia="Times New Roman" w:hAnsi="Century Gothic" w:cs="Times New Roman"/>
                <w:kern w:val="0"/>
                <w:sz w:val="18"/>
                <w:szCs w:val="18"/>
                <w:lang w:eastAsia="en-GB"/>
                <w14:ligatures w14:val="none"/>
              </w:rPr>
              <w:t>'Death by the book: The fin-de-siècle livre de luxe as body, female flesh and toxic poisoner' (Elisian Ralli, University of Oxford)</w:t>
            </w:r>
            <w:r w:rsidRPr="00C70EBF">
              <w:rPr>
                <w:rFonts w:ascii="Century Gothic" w:eastAsia="Times New Roman" w:hAnsi="Century Gothic" w:cs="Times New Roman"/>
                <w:kern w:val="0"/>
                <w:sz w:val="18"/>
                <w:szCs w:val="18"/>
                <w:lang w:eastAsia="en-GB"/>
                <w14:ligatures w14:val="none"/>
              </w:rPr>
              <w:br/>
            </w:r>
            <w:r w:rsidRPr="00C70EBF">
              <w:rPr>
                <w:rFonts w:ascii="Century Gothic" w:eastAsia="Times New Roman" w:hAnsi="Century Gothic" w:cs="Times New Roman"/>
                <w:kern w:val="0"/>
                <w:sz w:val="18"/>
                <w:szCs w:val="18"/>
                <w:lang w:eastAsia="en-GB"/>
                <w14:ligatures w14:val="none"/>
              </w:rPr>
              <w:br/>
              <w:t>'Vegetal Femininity: Plant, Body, and Resistance in Women's Fiction' (Yang Zhang, Jinling Institute of Technology)</w:t>
            </w:r>
            <w:r w:rsidRPr="00C70EBF">
              <w:rPr>
                <w:rFonts w:ascii="Century Gothic" w:eastAsia="Times New Roman" w:hAnsi="Century Gothic" w:cs="Times New Roman"/>
                <w:kern w:val="0"/>
                <w:sz w:val="18"/>
                <w:szCs w:val="18"/>
                <w:lang w:eastAsia="en-GB"/>
                <w14:ligatures w14:val="none"/>
              </w:rPr>
              <w:br/>
            </w:r>
            <w:r w:rsidRPr="00C70EBF">
              <w:rPr>
                <w:rFonts w:ascii="Century Gothic" w:eastAsia="Times New Roman" w:hAnsi="Century Gothic" w:cs="Times New Roman"/>
                <w:kern w:val="0"/>
                <w:sz w:val="18"/>
                <w:szCs w:val="18"/>
                <w:lang w:eastAsia="en-GB"/>
                <w14:ligatures w14:val="none"/>
              </w:rPr>
              <w:br/>
              <w:t>'Commonplacing Meets the Body' (Finn Manders, UCL and Wellcome Collection)</w:t>
            </w:r>
          </w:p>
        </w:tc>
        <w:tc>
          <w:tcPr>
            <w:tcW w:w="0" w:type="auto"/>
            <w:shd w:val="clear" w:color="auto" w:fill="E3EBE7"/>
            <w:tcMar>
              <w:top w:w="0" w:type="dxa"/>
              <w:left w:w="45" w:type="dxa"/>
              <w:bottom w:w="0" w:type="dxa"/>
              <w:right w:w="45" w:type="dxa"/>
            </w:tcMar>
            <w:vAlign w:val="center"/>
            <w:hideMark/>
          </w:tcPr>
          <w:p w14:paraId="1C47623E" w14:textId="77777777" w:rsidR="00AD3E38" w:rsidRP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p>
        </w:tc>
      </w:tr>
      <w:tr w:rsidR="00AD3E38" w:rsidRPr="00AD3E38" w14:paraId="1EFE49D7" w14:textId="77777777" w:rsidTr="00AD3E38">
        <w:trPr>
          <w:trHeight w:val="1317"/>
          <w:tblCellSpacing w:w="0" w:type="dxa"/>
        </w:trPr>
        <w:tc>
          <w:tcPr>
            <w:tcW w:w="0" w:type="auto"/>
            <w:tcBorders>
              <w:right w:val="single" w:sz="6" w:space="0" w:color="E0D1C3"/>
            </w:tcBorders>
            <w:shd w:val="clear" w:color="auto" w:fill="E3EBE7"/>
            <w:tcMar>
              <w:top w:w="0" w:type="dxa"/>
              <w:left w:w="45" w:type="dxa"/>
              <w:bottom w:w="0" w:type="dxa"/>
              <w:right w:w="45" w:type="dxa"/>
            </w:tcMar>
            <w:vAlign w:val="center"/>
            <w:hideMark/>
          </w:tcPr>
          <w:p w14:paraId="3C3DBD00"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tcBorders>
              <w:bottom w:val="single" w:sz="6" w:space="0" w:color="E0D1C3"/>
              <w:right w:val="single" w:sz="6" w:space="0" w:color="E0D1C3"/>
            </w:tcBorders>
            <w:shd w:val="clear" w:color="auto" w:fill="FFFFFF"/>
            <w:tcMar>
              <w:top w:w="0" w:type="dxa"/>
              <w:left w:w="45" w:type="dxa"/>
              <w:bottom w:w="0" w:type="dxa"/>
              <w:right w:w="45" w:type="dxa"/>
            </w:tcMar>
            <w:vAlign w:val="center"/>
            <w:hideMark/>
          </w:tcPr>
          <w:p w14:paraId="27886E29" w14:textId="77777777" w:rsidR="00AD3E38" w:rsidRPr="00AD3E38" w:rsidRDefault="00AD3E38" w:rsidP="00AF774A">
            <w:pPr>
              <w:spacing w:after="240"/>
              <w:rPr>
                <w:rFonts w:ascii="Century Gothic" w:eastAsia="Times New Roman" w:hAnsi="Century Gothic" w:cs="Times New Roman"/>
                <w:kern w:val="0"/>
                <w:sz w:val="18"/>
                <w:szCs w:val="18"/>
                <w:lang w:eastAsia="en-GB"/>
                <w14:ligatures w14:val="none"/>
              </w:rPr>
            </w:pPr>
            <w:r w:rsidRPr="00AD3E38">
              <w:rPr>
                <w:rFonts w:ascii="Century Gothic" w:eastAsia="Times New Roman" w:hAnsi="Century Gothic" w:cs="Times New Roman"/>
                <w:kern w:val="0"/>
                <w:sz w:val="18"/>
                <w:szCs w:val="18"/>
                <w:lang w:eastAsia="en-GB"/>
                <w14:ligatures w14:val="none"/>
              </w:rPr>
              <w:t>11:45 - 12:00</w:t>
            </w:r>
          </w:p>
        </w:tc>
        <w:tc>
          <w:tcPr>
            <w:tcW w:w="0" w:type="auto"/>
            <w:gridSpan w:val="2"/>
            <w:tcBorders>
              <w:bottom w:val="single" w:sz="6" w:space="0" w:color="E0D1C3"/>
              <w:right w:val="single" w:sz="6" w:space="0" w:color="E0D1C3"/>
            </w:tcBorders>
            <w:shd w:val="clear" w:color="auto" w:fill="EFCEBE"/>
            <w:tcMar>
              <w:top w:w="0" w:type="dxa"/>
              <w:left w:w="45" w:type="dxa"/>
              <w:bottom w:w="0" w:type="dxa"/>
              <w:right w:w="45" w:type="dxa"/>
            </w:tcMar>
            <w:vAlign w:val="center"/>
            <w:hideMark/>
          </w:tcPr>
          <w:p w14:paraId="065BD4E3" w14:textId="77777777"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r w:rsidRPr="009C6A92">
              <w:rPr>
                <w:rFonts w:ascii="Century Gothic" w:eastAsia="Times New Roman" w:hAnsi="Century Gothic" w:cs="Times New Roman"/>
                <w:i/>
                <w:iCs/>
                <w:kern w:val="0"/>
                <w:sz w:val="16"/>
                <w:szCs w:val="16"/>
                <w:lang w:eastAsia="en-GB"/>
                <w14:ligatures w14:val="none"/>
              </w:rPr>
              <w:t>Break</w:t>
            </w:r>
          </w:p>
          <w:p w14:paraId="37F6E779" w14:textId="7675E36E" w:rsidR="00AD3E38" w:rsidRPr="009C6A92" w:rsidRDefault="00AD3E38" w:rsidP="00AF774A">
            <w:pPr>
              <w:spacing w:after="240"/>
              <w:jc w:val="center"/>
              <w:rPr>
                <w:rFonts w:ascii="Century Gothic" w:eastAsia="Times New Roman" w:hAnsi="Century Gothic" w:cs="Times New Roman"/>
                <w:kern w:val="0"/>
                <w:sz w:val="16"/>
                <w:szCs w:val="16"/>
                <w:lang w:eastAsia="en-GB"/>
                <w14:ligatures w14:val="none"/>
              </w:rPr>
            </w:pPr>
            <w:r w:rsidRPr="009C6A92">
              <w:rPr>
                <w:rFonts w:ascii="Century Gothic" w:eastAsia="Times New Roman" w:hAnsi="Century Gothic" w:cs="Times New Roman"/>
                <w:kern w:val="0"/>
                <w:sz w:val="16"/>
                <w:szCs w:val="16"/>
                <w:lang w:eastAsia="en-GB"/>
                <w14:ligatures w14:val="none"/>
              </w:rPr>
              <w:t>Complimentary tea and coffee and refreshments can be collected from </w:t>
            </w:r>
            <w:r w:rsidRPr="009C6A92">
              <w:rPr>
                <w:rFonts w:ascii="Century Gothic" w:eastAsia="Times New Roman" w:hAnsi="Century Gothic" w:cs="Times New Roman"/>
                <w:b/>
                <w:bCs/>
                <w:kern w:val="0"/>
                <w:sz w:val="16"/>
                <w:szCs w:val="16"/>
                <w:lang w:eastAsia="en-GB"/>
                <w14:ligatures w14:val="none"/>
              </w:rPr>
              <w:t>Room 00.079A</w:t>
            </w:r>
            <w:r w:rsidRPr="009C6A92">
              <w:rPr>
                <w:rFonts w:ascii="Century Gothic" w:eastAsia="Times New Roman" w:hAnsi="Century Gothic" w:cs="Times New Roman"/>
                <w:kern w:val="0"/>
                <w:sz w:val="16"/>
                <w:szCs w:val="16"/>
                <w:lang w:eastAsia="en-GB"/>
                <w14:ligatures w14:val="none"/>
              </w:rPr>
              <w:t>.</w:t>
            </w:r>
          </w:p>
        </w:tc>
        <w:tc>
          <w:tcPr>
            <w:tcW w:w="0" w:type="auto"/>
            <w:shd w:val="clear" w:color="auto" w:fill="E3EBE7"/>
            <w:tcMar>
              <w:top w:w="0" w:type="dxa"/>
              <w:left w:w="45" w:type="dxa"/>
              <w:bottom w:w="0" w:type="dxa"/>
              <w:right w:w="45" w:type="dxa"/>
            </w:tcMar>
            <w:vAlign w:val="center"/>
            <w:hideMark/>
          </w:tcPr>
          <w:p w14:paraId="161AD8DD" w14:textId="77777777" w:rsidR="00AD3E38" w:rsidRP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p>
        </w:tc>
      </w:tr>
      <w:tr w:rsidR="00AD3E38" w:rsidRPr="00AD3E38" w14:paraId="3AE1B570" w14:textId="77777777" w:rsidTr="00AD3E38">
        <w:trPr>
          <w:trHeight w:val="1317"/>
          <w:tblCellSpacing w:w="0" w:type="dxa"/>
        </w:trPr>
        <w:tc>
          <w:tcPr>
            <w:tcW w:w="0" w:type="auto"/>
            <w:tcBorders>
              <w:right w:val="single" w:sz="6" w:space="0" w:color="E0D1C3"/>
            </w:tcBorders>
            <w:shd w:val="clear" w:color="auto" w:fill="E3EBE7"/>
            <w:tcMar>
              <w:top w:w="0" w:type="dxa"/>
              <w:left w:w="45" w:type="dxa"/>
              <w:bottom w:w="0" w:type="dxa"/>
              <w:right w:w="45" w:type="dxa"/>
            </w:tcMar>
            <w:vAlign w:val="center"/>
            <w:hideMark/>
          </w:tcPr>
          <w:p w14:paraId="1C636F63"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tcBorders>
              <w:bottom w:val="single" w:sz="6" w:space="0" w:color="E0D1C3"/>
              <w:right w:val="single" w:sz="6" w:space="0" w:color="E0D1C3"/>
            </w:tcBorders>
            <w:shd w:val="clear" w:color="auto" w:fill="FFFFFF"/>
            <w:tcMar>
              <w:top w:w="0" w:type="dxa"/>
              <w:left w:w="45" w:type="dxa"/>
              <w:bottom w:w="0" w:type="dxa"/>
              <w:right w:w="45" w:type="dxa"/>
            </w:tcMar>
            <w:vAlign w:val="center"/>
            <w:hideMark/>
          </w:tcPr>
          <w:p w14:paraId="2DB4D7DF" w14:textId="77777777" w:rsidR="00AD3E38" w:rsidRPr="00AD3E38" w:rsidRDefault="00AD3E38" w:rsidP="00AF774A">
            <w:pPr>
              <w:spacing w:after="240"/>
              <w:rPr>
                <w:rFonts w:ascii="Century Gothic" w:eastAsia="Times New Roman" w:hAnsi="Century Gothic" w:cs="Times New Roman"/>
                <w:kern w:val="0"/>
                <w:sz w:val="18"/>
                <w:szCs w:val="18"/>
                <w:lang w:eastAsia="en-GB"/>
                <w14:ligatures w14:val="none"/>
              </w:rPr>
            </w:pPr>
            <w:r w:rsidRPr="00AD3E38">
              <w:rPr>
                <w:rFonts w:ascii="Century Gothic" w:eastAsia="Times New Roman" w:hAnsi="Century Gothic" w:cs="Times New Roman"/>
                <w:kern w:val="0"/>
                <w:sz w:val="18"/>
                <w:szCs w:val="18"/>
                <w:lang w:eastAsia="en-GB"/>
                <w14:ligatures w14:val="none"/>
              </w:rPr>
              <w:t>12:00 - 1:00 </w:t>
            </w:r>
          </w:p>
        </w:tc>
        <w:tc>
          <w:tcPr>
            <w:tcW w:w="0" w:type="auto"/>
            <w:gridSpan w:val="2"/>
            <w:tcBorders>
              <w:bottom w:val="single" w:sz="6" w:space="0" w:color="E0D1C3"/>
            </w:tcBorders>
            <w:shd w:val="clear" w:color="auto" w:fill="DEF2EE"/>
            <w:tcMar>
              <w:top w:w="0" w:type="dxa"/>
              <w:left w:w="45" w:type="dxa"/>
              <w:bottom w:w="0" w:type="dxa"/>
              <w:right w:w="45" w:type="dxa"/>
            </w:tcMar>
            <w:vAlign w:val="center"/>
            <w:hideMark/>
          </w:tcPr>
          <w:p w14:paraId="55669CA2" w14:textId="77777777"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p>
          <w:p w14:paraId="32D36495" w14:textId="2AA9F69D"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r w:rsidRPr="009C6A92">
              <w:rPr>
                <w:rFonts w:ascii="Century Gothic" w:eastAsia="Times New Roman" w:hAnsi="Century Gothic" w:cs="Times New Roman"/>
                <w:i/>
                <w:iCs/>
                <w:kern w:val="0"/>
                <w:sz w:val="16"/>
                <w:szCs w:val="16"/>
                <w:lang w:eastAsia="en-GB"/>
                <w14:ligatures w14:val="none"/>
              </w:rPr>
              <w:t>Keynote Lecture: Curating the Body</w:t>
            </w:r>
          </w:p>
          <w:p w14:paraId="4235F2A2" w14:textId="28A7ABD9" w:rsidR="00AD3E38" w:rsidRPr="009C6A92" w:rsidRDefault="00AD3E38" w:rsidP="00AF774A">
            <w:pPr>
              <w:spacing w:after="240"/>
              <w:jc w:val="center"/>
              <w:rPr>
                <w:rFonts w:ascii="Century Gothic" w:eastAsia="Times New Roman" w:hAnsi="Century Gothic" w:cs="Times New Roman"/>
                <w:b/>
                <w:bCs/>
                <w:kern w:val="0"/>
                <w:sz w:val="16"/>
                <w:szCs w:val="16"/>
                <w:lang w:eastAsia="en-GB"/>
                <w14:ligatures w14:val="none"/>
              </w:rPr>
            </w:pPr>
            <w:r w:rsidRPr="009C6A92">
              <w:rPr>
                <w:rFonts w:ascii="Century Gothic" w:eastAsia="Times New Roman" w:hAnsi="Century Gothic" w:cs="Times New Roman"/>
                <w:kern w:val="0"/>
                <w:sz w:val="16"/>
                <w:szCs w:val="16"/>
                <w:lang w:eastAsia="en-GB"/>
                <w14:ligatures w14:val="none"/>
              </w:rPr>
              <w:t>In </w:t>
            </w:r>
            <w:r w:rsidRPr="009C6A92">
              <w:rPr>
                <w:rFonts w:ascii="Century Gothic" w:eastAsia="Times New Roman" w:hAnsi="Century Gothic" w:cs="Times New Roman"/>
                <w:b/>
                <w:bCs/>
                <w:kern w:val="0"/>
                <w:sz w:val="16"/>
                <w:szCs w:val="16"/>
                <w:lang w:eastAsia="en-GB"/>
                <w14:ligatures w14:val="none"/>
              </w:rPr>
              <w:t>Seminar Room 63</w:t>
            </w:r>
          </w:p>
          <w:p w14:paraId="7DBC8056" w14:textId="6EEF4CEE" w:rsidR="00AD3E38" w:rsidRPr="009C6A92" w:rsidRDefault="00AD3E38" w:rsidP="003C7622">
            <w:pPr>
              <w:spacing w:after="240"/>
              <w:jc w:val="center"/>
              <w:rPr>
                <w:rFonts w:ascii="Century Gothic" w:eastAsia="Times New Roman" w:hAnsi="Century Gothic" w:cs="Times New Roman"/>
                <w:kern w:val="0"/>
                <w:sz w:val="16"/>
                <w:szCs w:val="16"/>
                <w:lang w:eastAsia="en-GB"/>
                <w14:ligatures w14:val="none"/>
              </w:rPr>
            </w:pPr>
            <w:r w:rsidRPr="009C6A92">
              <w:rPr>
                <w:rFonts w:ascii="Century Gothic" w:eastAsia="Times New Roman" w:hAnsi="Century Gothic" w:cs="Times New Roman"/>
                <w:kern w:val="0"/>
                <w:sz w:val="16"/>
                <w:szCs w:val="16"/>
                <w:lang w:eastAsia="en-GB"/>
                <w14:ligatures w14:val="none"/>
              </w:rPr>
              <w:t>Curators from the Wellcome Collection's 'Expecting: Birth, Belief, and Protection' exhibition</w:t>
            </w:r>
          </w:p>
          <w:p w14:paraId="2E44E356" w14:textId="77777777"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p>
          <w:p w14:paraId="0DCA549D" w14:textId="72C672FB"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p>
        </w:tc>
        <w:tc>
          <w:tcPr>
            <w:tcW w:w="0" w:type="auto"/>
            <w:shd w:val="clear" w:color="auto" w:fill="E3EBE7"/>
            <w:tcMar>
              <w:top w:w="0" w:type="dxa"/>
              <w:left w:w="45" w:type="dxa"/>
              <w:bottom w:w="0" w:type="dxa"/>
              <w:right w:w="45" w:type="dxa"/>
            </w:tcMar>
            <w:vAlign w:val="center"/>
            <w:hideMark/>
          </w:tcPr>
          <w:p w14:paraId="2BD8C2B8" w14:textId="77777777" w:rsid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p>
          <w:p w14:paraId="261CD345" w14:textId="77777777" w:rsidR="00AD3E38" w:rsidRP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p>
        </w:tc>
      </w:tr>
      <w:tr w:rsidR="00AD3E38" w:rsidRPr="00AD3E38" w14:paraId="393567B7" w14:textId="77777777" w:rsidTr="00AD3E38">
        <w:trPr>
          <w:trHeight w:val="1317"/>
          <w:tblCellSpacing w:w="0" w:type="dxa"/>
        </w:trPr>
        <w:tc>
          <w:tcPr>
            <w:tcW w:w="0" w:type="auto"/>
            <w:tcBorders>
              <w:right w:val="single" w:sz="6" w:space="0" w:color="E0D1C3"/>
            </w:tcBorders>
            <w:shd w:val="clear" w:color="auto" w:fill="E3EBE7"/>
            <w:tcMar>
              <w:top w:w="0" w:type="dxa"/>
              <w:left w:w="45" w:type="dxa"/>
              <w:bottom w:w="0" w:type="dxa"/>
              <w:right w:w="45" w:type="dxa"/>
            </w:tcMar>
            <w:vAlign w:val="center"/>
            <w:hideMark/>
          </w:tcPr>
          <w:p w14:paraId="7FFA6C70"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tcBorders>
              <w:bottom w:val="single" w:sz="6" w:space="0" w:color="E0D1C3"/>
              <w:right w:val="single" w:sz="6" w:space="0" w:color="E0D1C3"/>
            </w:tcBorders>
            <w:shd w:val="clear" w:color="auto" w:fill="FFFFFF"/>
            <w:tcMar>
              <w:top w:w="0" w:type="dxa"/>
              <w:left w:w="45" w:type="dxa"/>
              <w:bottom w:w="0" w:type="dxa"/>
              <w:right w:w="45" w:type="dxa"/>
            </w:tcMar>
            <w:vAlign w:val="center"/>
            <w:hideMark/>
          </w:tcPr>
          <w:p w14:paraId="451F1453" w14:textId="77777777" w:rsidR="00AD3E38" w:rsidRPr="00AD3E38" w:rsidRDefault="00AD3E38" w:rsidP="00AF774A">
            <w:pPr>
              <w:spacing w:after="240"/>
              <w:rPr>
                <w:rFonts w:ascii="Century Gothic" w:eastAsia="Times New Roman" w:hAnsi="Century Gothic" w:cs="Times New Roman"/>
                <w:kern w:val="0"/>
                <w:sz w:val="18"/>
                <w:szCs w:val="18"/>
                <w:lang w:eastAsia="en-GB"/>
                <w14:ligatures w14:val="none"/>
              </w:rPr>
            </w:pPr>
            <w:r w:rsidRPr="00AD3E38">
              <w:rPr>
                <w:rFonts w:ascii="Century Gothic" w:eastAsia="Times New Roman" w:hAnsi="Century Gothic" w:cs="Times New Roman"/>
                <w:kern w:val="0"/>
                <w:sz w:val="18"/>
                <w:szCs w:val="18"/>
                <w:lang w:eastAsia="en-GB"/>
                <w14:ligatures w14:val="none"/>
              </w:rPr>
              <w:t>1:00 - 2:00</w:t>
            </w:r>
          </w:p>
        </w:tc>
        <w:tc>
          <w:tcPr>
            <w:tcW w:w="0" w:type="auto"/>
            <w:gridSpan w:val="2"/>
            <w:tcBorders>
              <w:bottom w:val="single" w:sz="6" w:space="0" w:color="E0D1C3"/>
            </w:tcBorders>
            <w:shd w:val="clear" w:color="auto" w:fill="EFCEBE"/>
            <w:tcMar>
              <w:top w:w="0" w:type="dxa"/>
              <w:left w:w="45" w:type="dxa"/>
              <w:bottom w:w="0" w:type="dxa"/>
              <w:right w:w="45" w:type="dxa"/>
            </w:tcMar>
            <w:vAlign w:val="center"/>
            <w:hideMark/>
          </w:tcPr>
          <w:p w14:paraId="6B6E3EFC" w14:textId="77777777"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p>
          <w:p w14:paraId="73CF97AA" w14:textId="657F9B1B"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r w:rsidRPr="009C6A92">
              <w:rPr>
                <w:rFonts w:ascii="Century Gothic" w:eastAsia="Times New Roman" w:hAnsi="Century Gothic" w:cs="Times New Roman"/>
                <w:i/>
                <w:iCs/>
                <w:kern w:val="0"/>
                <w:sz w:val="16"/>
                <w:szCs w:val="16"/>
                <w:lang w:eastAsia="en-GB"/>
                <w14:ligatures w14:val="none"/>
              </w:rPr>
              <w:t>Lunch</w:t>
            </w:r>
          </w:p>
          <w:p w14:paraId="26E620A8" w14:textId="3EED8FA9" w:rsidR="00AD3E38" w:rsidRPr="009C6A92" w:rsidRDefault="00AD3E38" w:rsidP="003C7622">
            <w:pPr>
              <w:spacing w:after="240"/>
              <w:jc w:val="center"/>
              <w:rPr>
                <w:rFonts w:ascii="Century Gothic" w:eastAsia="Times New Roman" w:hAnsi="Century Gothic" w:cs="Times New Roman"/>
                <w:kern w:val="0"/>
                <w:sz w:val="16"/>
                <w:szCs w:val="16"/>
                <w:lang w:eastAsia="en-GB"/>
                <w14:ligatures w14:val="none"/>
              </w:rPr>
            </w:pPr>
            <w:r w:rsidRPr="009C6A92">
              <w:rPr>
                <w:rFonts w:ascii="Century Gothic" w:eastAsia="Times New Roman" w:hAnsi="Century Gothic" w:cs="Times New Roman"/>
                <w:kern w:val="0"/>
                <w:sz w:val="16"/>
                <w:szCs w:val="16"/>
                <w:lang w:eastAsia="en-GB"/>
                <w14:ligatures w14:val="none"/>
              </w:rPr>
              <w:t>Complimentary lunch and tea and coffee can be collected from </w:t>
            </w:r>
            <w:r w:rsidRPr="009C6A92">
              <w:rPr>
                <w:rFonts w:ascii="Century Gothic" w:eastAsia="Times New Roman" w:hAnsi="Century Gothic" w:cs="Times New Roman"/>
                <w:b/>
                <w:bCs/>
                <w:kern w:val="0"/>
                <w:sz w:val="16"/>
                <w:szCs w:val="16"/>
                <w:lang w:eastAsia="en-GB"/>
                <w14:ligatures w14:val="none"/>
              </w:rPr>
              <w:t>Room 00.079A</w:t>
            </w:r>
            <w:r w:rsidRPr="009C6A92">
              <w:rPr>
                <w:rFonts w:ascii="Century Gothic" w:eastAsia="Times New Roman" w:hAnsi="Century Gothic" w:cs="Times New Roman"/>
                <w:kern w:val="0"/>
                <w:sz w:val="16"/>
                <w:szCs w:val="16"/>
                <w:lang w:eastAsia="en-GB"/>
                <w14:ligatures w14:val="none"/>
              </w:rPr>
              <w:t> and eaten in the Great Hall, Cafe, or outside spaces.</w:t>
            </w:r>
          </w:p>
          <w:p w14:paraId="1B59C257" w14:textId="77777777" w:rsidR="003C7622" w:rsidRPr="009C6A92" w:rsidRDefault="003C7622" w:rsidP="003C7622">
            <w:pPr>
              <w:spacing w:after="240"/>
              <w:jc w:val="center"/>
              <w:rPr>
                <w:rFonts w:ascii="Century Gothic" w:eastAsia="Times New Roman" w:hAnsi="Century Gothic" w:cs="Times New Roman"/>
                <w:kern w:val="0"/>
                <w:sz w:val="16"/>
                <w:szCs w:val="16"/>
                <w:lang w:eastAsia="en-GB"/>
                <w14:ligatures w14:val="none"/>
              </w:rPr>
            </w:pPr>
          </w:p>
          <w:p w14:paraId="545B95EF" w14:textId="19E7FC87"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p>
        </w:tc>
        <w:tc>
          <w:tcPr>
            <w:tcW w:w="0" w:type="auto"/>
            <w:shd w:val="clear" w:color="auto" w:fill="E3EBE7"/>
            <w:tcMar>
              <w:top w:w="0" w:type="dxa"/>
              <w:left w:w="45" w:type="dxa"/>
              <w:bottom w:w="0" w:type="dxa"/>
              <w:right w:w="45" w:type="dxa"/>
            </w:tcMar>
            <w:vAlign w:val="center"/>
            <w:hideMark/>
          </w:tcPr>
          <w:p w14:paraId="5893CD3C" w14:textId="77777777" w:rsidR="00AD3E38" w:rsidRP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p>
        </w:tc>
      </w:tr>
      <w:tr w:rsidR="00AD3E38" w:rsidRPr="00AD3E38" w14:paraId="713287E2" w14:textId="77777777" w:rsidTr="00AD3E38">
        <w:trPr>
          <w:trHeight w:val="3132"/>
          <w:tblCellSpacing w:w="0" w:type="dxa"/>
        </w:trPr>
        <w:tc>
          <w:tcPr>
            <w:tcW w:w="0" w:type="auto"/>
            <w:tcBorders>
              <w:right w:val="single" w:sz="6" w:space="0" w:color="E0D1C3"/>
            </w:tcBorders>
            <w:shd w:val="clear" w:color="auto" w:fill="E3EBE7"/>
            <w:tcMar>
              <w:top w:w="0" w:type="dxa"/>
              <w:left w:w="45" w:type="dxa"/>
              <w:bottom w:w="0" w:type="dxa"/>
              <w:right w:w="45" w:type="dxa"/>
            </w:tcMar>
            <w:vAlign w:val="center"/>
            <w:hideMark/>
          </w:tcPr>
          <w:p w14:paraId="50D8A70E"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tcBorders>
              <w:bottom w:val="single" w:sz="6" w:space="0" w:color="E0D1C3"/>
              <w:right w:val="single" w:sz="6" w:space="0" w:color="E0D1C3"/>
            </w:tcBorders>
            <w:shd w:val="clear" w:color="auto" w:fill="FFFFFF"/>
            <w:tcMar>
              <w:top w:w="0" w:type="dxa"/>
              <w:left w:w="45" w:type="dxa"/>
              <w:bottom w:w="0" w:type="dxa"/>
              <w:right w:w="45" w:type="dxa"/>
            </w:tcMar>
            <w:vAlign w:val="center"/>
            <w:hideMark/>
          </w:tcPr>
          <w:p w14:paraId="228D9A2E" w14:textId="77777777" w:rsidR="00AD3E38" w:rsidRPr="00AD3E38" w:rsidRDefault="00AD3E38" w:rsidP="00AF774A">
            <w:pPr>
              <w:spacing w:after="240"/>
              <w:rPr>
                <w:rFonts w:ascii="Century Gothic" w:eastAsia="Times New Roman" w:hAnsi="Century Gothic" w:cs="Times New Roman"/>
                <w:kern w:val="0"/>
                <w:sz w:val="18"/>
                <w:szCs w:val="18"/>
                <w:lang w:eastAsia="en-GB"/>
                <w14:ligatures w14:val="none"/>
              </w:rPr>
            </w:pPr>
            <w:r w:rsidRPr="00AD3E38">
              <w:rPr>
                <w:rFonts w:ascii="Century Gothic" w:eastAsia="Times New Roman" w:hAnsi="Century Gothic" w:cs="Times New Roman"/>
                <w:kern w:val="0"/>
                <w:sz w:val="18"/>
                <w:szCs w:val="18"/>
                <w:lang w:eastAsia="en-GB"/>
                <w14:ligatures w14:val="none"/>
              </w:rPr>
              <w:t>2:00 - 3:45</w:t>
            </w:r>
          </w:p>
        </w:tc>
        <w:tc>
          <w:tcPr>
            <w:tcW w:w="4810" w:type="dxa"/>
            <w:tcBorders>
              <w:bottom w:val="single" w:sz="6" w:space="0" w:color="E0D1C3"/>
              <w:right w:val="single" w:sz="6" w:space="0" w:color="E0D1C3"/>
            </w:tcBorders>
            <w:shd w:val="clear" w:color="auto" w:fill="F7E6DE"/>
            <w:tcMar>
              <w:top w:w="0" w:type="dxa"/>
              <w:left w:w="45" w:type="dxa"/>
              <w:bottom w:w="0" w:type="dxa"/>
              <w:right w:w="45" w:type="dxa"/>
            </w:tcMar>
            <w:vAlign w:val="center"/>
            <w:hideMark/>
          </w:tcPr>
          <w:p w14:paraId="415D3A15" w14:textId="77777777" w:rsidR="003C7622" w:rsidRPr="009C6A92" w:rsidRDefault="003C7622" w:rsidP="00AF774A">
            <w:pPr>
              <w:spacing w:after="240"/>
              <w:jc w:val="center"/>
              <w:rPr>
                <w:rFonts w:ascii="Century Gothic" w:eastAsia="Times New Roman" w:hAnsi="Century Gothic" w:cs="Times New Roman"/>
                <w:i/>
                <w:iCs/>
                <w:kern w:val="0"/>
                <w:sz w:val="16"/>
                <w:szCs w:val="16"/>
                <w:lang w:eastAsia="en-GB"/>
                <w14:ligatures w14:val="none"/>
              </w:rPr>
            </w:pPr>
          </w:p>
          <w:p w14:paraId="2D60A53D" w14:textId="521D1937"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r w:rsidRPr="009C6A92">
              <w:rPr>
                <w:rFonts w:ascii="Century Gothic" w:eastAsia="Times New Roman" w:hAnsi="Century Gothic" w:cs="Times New Roman"/>
                <w:i/>
                <w:iCs/>
                <w:kern w:val="0"/>
                <w:sz w:val="16"/>
                <w:szCs w:val="16"/>
                <w:lang w:eastAsia="en-GB"/>
                <w14:ligatures w14:val="none"/>
              </w:rPr>
              <w:t>Panel 5: Medicine, Health, and Disability</w:t>
            </w:r>
            <w:r w:rsidRPr="009C6A92">
              <w:rPr>
                <w:rFonts w:ascii="Century Gothic" w:eastAsia="Times New Roman" w:hAnsi="Century Gothic" w:cs="Times New Roman"/>
                <w:i/>
                <w:iCs/>
                <w:kern w:val="0"/>
                <w:sz w:val="16"/>
                <w:szCs w:val="16"/>
                <w:lang w:eastAsia="en-GB"/>
                <w14:ligatures w14:val="none"/>
              </w:rPr>
              <w:br/>
            </w:r>
            <w:r w:rsidRPr="009C6A92">
              <w:rPr>
                <w:rFonts w:ascii="Century Gothic" w:eastAsia="Times New Roman" w:hAnsi="Century Gothic" w:cs="Times New Roman"/>
                <w:i/>
                <w:iCs/>
                <w:kern w:val="0"/>
                <w:sz w:val="16"/>
                <w:szCs w:val="16"/>
                <w:lang w:eastAsia="en-GB"/>
                <w14:ligatures w14:val="none"/>
              </w:rPr>
              <w:br/>
            </w:r>
            <w:r w:rsidRPr="009C6A92">
              <w:rPr>
                <w:rFonts w:ascii="Century Gothic" w:eastAsia="Times New Roman" w:hAnsi="Century Gothic" w:cs="Times New Roman"/>
                <w:kern w:val="0"/>
                <w:sz w:val="16"/>
                <w:szCs w:val="16"/>
                <w:lang w:eastAsia="en-GB"/>
                <w14:ligatures w14:val="none"/>
              </w:rPr>
              <w:t>'Short Tempers: Angry Women in Early Modern Medicine' (Hannah Cotteril, Royal Holloway University)</w:t>
            </w:r>
            <w:r w:rsidRPr="009C6A92">
              <w:rPr>
                <w:rFonts w:ascii="Century Gothic" w:eastAsia="Times New Roman" w:hAnsi="Century Gothic" w:cs="Times New Roman"/>
                <w:kern w:val="0"/>
                <w:sz w:val="16"/>
                <w:szCs w:val="16"/>
                <w:lang w:eastAsia="en-GB"/>
                <w14:ligatures w14:val="none"/>
              </w:rPr>
              <w:br/>
            </w:r>
            <w:r w:rsidRPr="009C6A92">
              <w:rPr>
                <w:rFonts w:ascii="Century Gothic" w:eastAsia="Times New Roman" w:hAnsi="Century Gothic" w:cs="Times New Roman"/>
                <w:kern w:val="0"/>
                <w:sz w:val="16"/>
                <w:szCs w:val="16"/>
                <w:lang w:eastAsia="en-GB"/>
                <w14:ligatures w14:val="none"/>
              </w:rPr>
              <w:br/>
              <w:t>'“Swelled legs, domestic, healthy”: meanings of health and the problem of recovering enslaved experiences from the nineteenth-century colonial Guyanese archive' (</w:t>
            </w:r>
            <w:r w:rsidR="00140835" w:rsidRPr="009C6A92">
              <w:rPr>
                <w:rFonts w:ascii="Century Gothic" w:eastAsia="Times New Roman" w:hAnsi="Century Gothic" w:cs="Times New Roman"/>
                <w:kern w:val="0"/>
                <w:sz w:val="16"/>
                <w:szCs w:val="16"/>
                <w:lang w:eastAsia="en-GB"/>
                <w14:ligatures w14:val="none"/>
              </w:rPr>
              <w:t>Toyin</w:t>
            </w:r>
            <w:r w:rsidRPr="009C6A92">
              <w:rPr>
                <w:rFonts w:ascii="Century Gothic" w:eastAsia="Times New Roman" w:hAnsi="Century Gothic" w:cs="Times New Roman"/>
                <w:kern w:val="0"/>
                <w:sz w:val="16"/>
                <w:szCs w:val="16"/>
                <w:lang w:eastAsia="en-GB"/>
                <w14:ligatures w14:val="none"/>
              </w:rPr>
              <w:t xml:space="preserve"> Akinkunmi, Independent Researcher)</w:t>
            </w:r>
            <w:r w:rsidRPr="009C6A92">
              <w:rPr>
                <w:rFonts w:ascii="Century Gothic" w:eastAsia="Times New Roman" w:hAnsi="Century Gothic" w:cs="Times New Roman"/>
                <w:kern w:val="0"/>
                <w:sz w:val="16"/>
                <w:szCs w:val="16"/>
                <w:lang w:eastAsia="en-GB"/>
                <w14:ligatures w14:val="none"/>
              </w:rPr>
              <w:br/>
            </w:r>
            <w:r w:rsidRPr="009C6A92">
              <w:rPr>
                <w:rFonts w:ascii="Century Gothic" w:eastAsia="Times New Roman" w:hAnsi="Century Gothic" w:cs="Times New Roman"/>
                <w:kern w:val="0"/>
                <w:sz w:val="16"/>
                <w:szCs w:val="16"/>
                <w:lang w:eastAsia="en-GB"/>
                <w14:ligatures w14:val="none"/>
              </w:rPr>
              <w:br/>
              <w:t>'Visible and Invisible Bodies: Disability, Medicalisation, and the Negotiation of Self in the Eighteenth-Century Country House' (Ruby Rutter, University of Manchester)</w:t>
            </w:r>
            <w:r w:rsidRPr="009C6A92">
              <w:rPr>
                <w:rFonts w:ascii="Century Gothic" w:eastAsia="Times New Roman" w:hAnsi="Century Gothic" w:cs="Times New Roman"/>
                <w:kern w:val="0"/>
                <w:sz w:val="16"/>
                <w:szCs w:val="16"/>
                <w:lang w:eastAsia="en-GB"/>
                <w14:ligatures w14:val="none"/>
              </w:rPr>
              <w:br/>
            </w:r>
            <w:r w:rsidRPr="009C6A92">
              <w:rPr>
                <w:rFonts w:ascii="Century Gothic" w:eastAsia="Times New Roman" w:hAnsi="Century Gothic" w:cs="Times New Roman"/>
                <w:kern w:val="0"/>
                <w:sz w:val="16"/>
                <w:szCs w:val="16"/>
                <w:lang w:eastAsia="en-GB"/>
                <w14:ligatures w14:val="none"/>
              </w:rPr>
              <w:br/>
              <w:t>'A monster of ‘his body’? Fathers in British early modern ‘monstrous’ birth narratives' (Ella Sheddick, UCL and Wellcome Collection)</w:t>
            </w:r>
          </w:p>
        </w:tc>
        <w:tc>
          <w:tcPr>
            <w:tcW w:w="4549" w:type="dxa"/>
            <w:tcBorders>
              <w:bottom w:val="single" w:sz="6" w:space="0" w:color="E0D1C3"/>
              <w:right w:val="single" w:sz="6" w:space="0" w:color="E0D1C3"/>
            </w:tcBorders>
            <w:shd w:val="clear" w:color="auto" w:fill="F4EFEB"/>
            <w:tcMar>
              <w:top w:w="0" w:type="dxa"/>
              <w:left w:w="45" w:type="dxa"/>
              <w:bottom w:w="0" w:type="dxa"/>
              <w:right w:w="45" w:type="dxa"/>
            </w:tcMar>
            <w:vAlign w:val="center"/>
            <w:hideMark/>
          </w:tcPr>
          <w:p w14:paraId="54E0908B" w14:textId="77777777" w:rsidR="00AD3E38" w:rsidRDefault="00AD3E38" w:rsidP="003C7622">
            <w:pPr>
              <w:spacing w:after="240"/>
              <w:rPr>
                <w:rFonts w:ascii="Century Gothic" w:eastAsia="Times New Roman" w:hAnsi="Century Gothic" w:cs="Times New Roman"/>
                <w:i/>
                <w:iCs/>
                <w:kern w:val="0"/>
                <w:sz w:val="18"/>
                <w:szCs w:val="18"/>
                <w:lang w:eastAsia="en-GB"/>
                <w14:ligatures w14:val="none"/>
              </w:rPr>
            </w:pPr>
          </w:p>
          <w:p w14:paraId="6FAFD66C" w14:textId="5D81453E" w:rsidR="00AD3E38" w:rsidRPr="00AD3E38" w:rsidRDefault="00AD3E38" w:rsidP="003C7622">
            <w:pPr>
              <w:spacing w:after="240"/>
              <w:jc w:val="center"/>
              <w:rPr>
                <w:rFonts w:ascii="Century Gothic" w:eastAsia="Times New Roman" w:hAnsi="Century Gothic" w:cs="Times New Roman"/>
                <w:i/>
                <w:iCs/>
                <w:kern w:val="0"/>
                <w:sz w:val="18"/>
                <w:szCs w:val="18"/>
                <w:lang w:eastAsia="en-GB"/>
                <w14:ligatures w14:val="none"/>
              </w:rPr>
            </w:pPr>
            <w:r w:rsidRPr="00AD3E38">
              <w:rPr>
                <w:rFonts w:ascii="Century Gothic" w:eastAsia="Times New Roman" w:hAnsi="Century Gothic" w:cs="Times New Roman"/>
                <w:i/>
                <w:iCs/>
                <w:kern w:val="0"/>
                <w:sz w:val="18"/>
                <w:szCs w:val="18"/>
                <w:lang w:eastAsia="en-GB"/>
                <w14:ligatures w14:val="none"/>
              </w:rPr>
              <w:t>Panel 6: The Reproductive Body</w:t>
            </w:r>
            <w:r w:rsidRPr="00AD3E38">
              <w:rPr>
                <w:rFonts w:ascii="Century Gothic" w:eastAsia="Times New Roman" w:hAnsi="Century Gothic" w:cs="Times New Roman"/>
                <w:i/>
                <w:iCs/>
                <w:kern w:val="0"/>
                <w:sz w:val="18"/>
                <w:szCs w:val="18"/>
                <w:lang w:eastAsia="en-GB"/>
                <w14:ligatures w14:val="none"/>
              </w:rPr>
              <w:br/>
            </w:r>
            <w:r w:rsidRPr="00AD3E38">
              <w:rPr>
                <w:rFonts w:ascii="Century Gothic" w:eastAsia="Times New Roman" w:hAnsi="Century Gothic" w:cs="Times New Roman"/>
                <w:i/>
                <w:iCs/>
                <w:kern w:val="0"/>
                <w:sz w:val="18"/>
                <w:szCs w:val="18"/>
                <w:lang w:eastAsia="en-GB"/>
                <w14:ligatures w14:val="none"/>
              </w:rPr>
              <w:br/>
            </w:r>
            <w:r w:rsidRPr="00C70EBF">
              <w:rPr>
                <w:rFonts w:ascii="Century Gothic" w:eastAsia="Times New Roman" w:hAnsi="Century Gothic" w:cs="Times New Roman"/>
                <w:kern w:val="0"/>
                <w:sz w:val="18"/>
                <w:szCs w:val="18"/>
                <w:lang w:eastAsia="en-GB"/>
                <w14:ligatures w14:val="none"/>
              </w:rPr>
              <w:t>'Tu Enfanteras Dans La Joie: Depictions and Discussions of Pregnancy in French Communist Women’s Magazines, 1945-1955’ (Eli Jeannin, QMUL)</w:t>
            </w:r>
            <w:r w:rsidRPr="00C70EBF">
              <w:rPr>
                <w:rFonts w:ascii="Century Gothic" w:eastAsia="Times New Roman" w:hAnsi="Century Gothic" w:cs="Times New Roman"/>
                <w:kern w:val="0"/>
                <w:sz w:val="18"/>
                <w:szCs w:val="18"/>
                <w:lang w:eastAsia="en-GB"/>
                <w14:ligatures w14:val="none"/>
              </w:rPr>
              <w:br/>
            </w:r>
            <w:r w:rsidRPr="00C70EBF">
              <w:rPr>
                <w:rFonts w:ascii="Century Gothic" w:eastAsia="Times New Roman" w:hAnsi="Century Gothic" w:cs="Times New Roman"/>
                <w:kern w:val="0"/>
                <w:sz w:val="18"/>
                <w:szCs w:val="18"/>
                <w:lang w:eastAsia="en-GB"/>
                <w14:ligatures w14:val="none"/>
              </w:rPr>
              <w:br/>
              <w:t>'Sex education, ‘family planning’ and body knowledge for young women in late twentieth century Ireland' (Maire Hussey, Trinity College Dublin)</w:t>
            </w:r>
            <w:r w:rsidRPr="00C70EBF">
              <w:rPr>
                <w:rFonts w:ascii="Century Gothic" w:eastAsia="Times New Roman" w:hAnsi="Century Gothic" w:cs="Times New Roman"/>
                <w:kern w:val="0"/>
                <w:sz w:val="18"/>
                <w:szCs w:val="18"/>
                <w:lang w:eastAsia="en-GB"/>
                <w14:ligatures w14:val="none"/>
              </w:rPr>
              <w:br/>
            </w:r>
            <w:r w:rsidRPr="00C70EBF">
              <w:rPr>
                <w:rFonts w:ascii="Century Gothic" w:eastAsia="Times New Roman" w:hAnsi="Century Gothic" w:cs="Times New Roman"/>
                <w:kern w:val="0"/>
                <w:sz w:val="18"/>
                <w:szCs w:val="18"/>
                <w:lang w:eastAsia="en-GB"/>
                <w14:ligatures w14:val="none"/>
              </w:rPr>
              <w:br/>
              <w:t>'"For Greece, Contraception Means Abortion": Reproductive Bodies, Institutional Silence, and Feminist Production in Post-Junta Athens (1975-1986)' (Angeliki Kokkali, University of Glasgow)</w:t>
            </w:r>
            <w:r w:rsidRPr="00C70EBF">
              <w:rPr>
                <w:rFonts w:ascii="Century Gothic" w:eastAsia="Times New Roman" w:hAnsi="Century Gothic" w:cs="Times New Roman"/>
                <w:kern w:val="0"/>
                <w:sz w:val="18"/>
                <w:szCs w:val="18"/>
                <w:lang w:eastAsia="en-GB"/>
                <w14:ligatures w14:val="none"/>
              </w:rPr>
              <w:br/>
            </w:r>
            <w:r w:rsidRPr="00C70EBF">
              <w:rPr>
                <w:rFonts w:ascii="Century Gothic" w:eastAsia="Times New Roman" w:hAnsi="Century Gothic" w:cs="Times New Roman"/>
                <w:kern w:val="0"/>
                <w:sz w:val="18"/>
                <w:szCs w:val="18"/>
                <w:lang w:eastAsia="en-GB"/>
                <w14:ligatures w14:val="none"/>
              </w:rPr>
              <w:br/>
              <w:t>'Bodies and Spirits: Reproduction and Spiritualism in the Antebellum United States' (Nienke Groskamp, University of Cambridge</w:t>
            </w:r>
            <w:r w:rsidRPr="00AD3E38">
              <w:rPr>
                <w:rFonts w:ascii="Century Gothic" w:eastAsia="Times New Roman" w:hAnsi="Century Gothic" w:cs="Times New Roman"/>
                <w:i/>
                <w:iCs/>
                <w:kern w:val="0"/>
                <w:sz w:val="18"/>
                <w:szCs w:val="18"/>
                <w:lang w:eastAsia="en-GB"/>
                <w14:ligatures w14:val="none"/>
              </w:rPr>
              <w:t>)</w:t>
            </w:r>
          </w:p>
        </w:tc>
        <w:tc>
          <w:tcPr>
            <w:tcW w:w="0" w:type="auto"/>
            <w:shd w:val="clear" w:color="auto" w:fill="E3EBE7"/>
            <w:tcMar>
              <w:top w:w="0" w:type="dxa"/>
              <w:left w:w="45" w:type="dxa"/>
              <w:bottom w:w="0" w:type="dxa"/>
              <w:right w:w="45" w:type="dxa"/>
            </w:tcMar>
            <w:vAlign w:val="center"/>
            <w:hideMark/>
          </w:tcPr>
          <w:p w14:paraId="47C1CF17" w14:textId="77777777" w:rsidR="00AD3E38" w:rsidRP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p>
        </w:tc>
      </w:tr>
      <w:tr w:rsidR="00AD3E38" w:rsidRPr="00AD3E38" w14:paraId="00BCD4CA" w14:textId="77777777" w:rsidTr="00AD3E38">
        <w:trPr>
          <w:trHeight w:val="1684"/>
          <w:tblCellSpacing w:w="0" w:type="dxa"/>
        </w:trPr>
        <w:tc>
          <w:tcPr>
            <w:tcW w:w="0" w:type="auto"/>
            <w:tcBorders>
              <w:right w:val="single" w:sz="6" w:space="0" w:color="E0D1C3"/>
            </w:tcBorders>
            <w:shd w:val="clear" w:color="auto" w:fill="E3EBE7"/>
            <w:tcMar>
              <w:top w:w="0" w:type="dxa"/>
              <w:left w:w="45" w:type="dxa"/>
              <w:bottom w:w="0" w:type="dxa"/>
              <w:right w:w="45" w:type="dxa"/>
            </w:tcMar>
            <w:vAlign w:val="center"/>
            <w:hideMark/>
          </w:tcPr>
          <w:p w14:paraId="3A93E3D6"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tcBorders>
              <w:bottom w:val="single" w:sz="6" w:space="0" w:color="E0D1C3"/>
              <w:right w:val="single" w:sz="6" w:space="0" w:color="E0D1C3"/>
            </w:tcBorders>
            <w:shd w:val="clear" w:color="auto" w:fill="FFFFFF"/>
            <w:tcMar>
              <w:top w:w="0" w:type="dxa"/>
              <w:left w:w="45" w:type="dxa"/>
              <w:bottom w:w="0" w:type="dxa"/>
              <w:right w:w="45" w:type="dxa"/>
            </w:tcMar>
            <w:vAlign w:val="center"/>
            <w:hideMark/>
          </w:tcPr>
          <w:p w14:paraId="56985099" w14:textId="77777777" w:rsidR="00AD3E38" w:rsidRPr="00AD3E38" w:rsidRDefault="00AD3E38" w:rsidP="00AF774A">
            <w:pPr>
              <w:spacing w:after="240"/>
              <w:rPr>
                <w:rFonts w:ascii="Century Gothic" w:eastAsia="Times New Roman" w:hAnsi="Century Gothic" w:cs="Times New Roman"/>
                <w:kern w:val="0"/>
                <w:sz w:val="18"/>
                <w:szCs w:val="18"/>
                <w:lang w:eastAsia="en-GB"/>
                <w14:ligatures w14:val="none"/>
              </w:rPr>
            </w:pPr>
            <w:r w:rsidRPr="00AD3E38">
              <w:rPr>
                <w:rFonts w:ascii="Century Gothic" w:eastAsia="Times New Roman" w:hAnsi="Century Gothic" w:cs="Times New Roman"/>
                <w:kern w:val="0"/>
                <w:sz w:val="18"/>
                <w:szCs w:val="18"/>
                <w:lang w:eastAsia="en-GB"/>
                <w14:ligatures w14:val="none"/>
              </w:rPr>
              <w:t>3:45 - 4:40</w:t>
            </w:r>
          </w:p>
        </w:tc>
        <w:tc>
          <w:tcPr>
            <w:tcW w:w="4810" w:type="dxa"/>
            <w:tcBorders>
              <w:bottom w:val="single" w:sz="6" w:space="0" w:color="E0D1C3"/>
              <w:right w:val="single" w:sz="6" w:space="0" w:color="E0D1C3"/>
            </w:tcBorders>
            <w:shd w:val="clear" w:color="auto" w:fill="F7E6DE"/>
            <w:tcMar>
              <w:top w:w="0" w:type="dxa"/>
              <w:left w:w="45" w:type="dxa"/>
              <w:bottom w:w="0" w:type="dxa"/>
              <w:right w:w="45" w:type="dxa"/>
            </w:tcMar>
            <w:vAlign w:val="center"/>
            <w:hideMark/>
          </w:tcPr>
          <w:p w14:paraId="2C58DED7" w14:textId="77777777"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r w:rsidRPr="009C6A92">
              <w:rPr>
                <w:rFonts w:ascii="Century Gothic" w:eastAsia="Times New Roman" w:hAnsi="Century Gothic" w:cs="Times New Roman"/>
                <w:i/>
                <w:iCs/>
                <w:kern w:val="0"/>
                <w:sz w:val="16"/>
                <w:szCs w:val="16"/>
                <w:lang w:eastAsia="en-GB"/>
                <w14:ligatures w14:val="none"/>
              </w:rPr>
              <w:t>Panel 7: Diet and Digestion</w:t>
            </w:r>
            <w:r w:rsidRPr="009C6A92">
              <w:rPr>
                <w:rFonts w:ascii="Century Gothic" w:eastAsia="Times New Roman" w:hAnsi="Century Gothic" w:cs="Times New Roman"/>
                <w:i/>
                <w:iCs/>
                <w:kern w:val="0"/>
                <w:sz w:val="16"/>
                <w:szCs w:val="16"/>
                <w:lang w:eastAsia="en-GB"/>
                <w14:ligatures w14:val="none"/>
              </w:rPr>
              <w:br/>
            </w:r>
            <w:r w:rsidRPr="009C6A92">
              <w:rPr>
                <w:rFonts w:ascii="Century Gothic" w:eastAsia="Times New Roman" w:hAnsi="Century Gothic" w:cs="Times New Roman"/>
                <w:kern w:val="0"/>
                <w:sz w:val="16"/>
                <w:szCs w:val="16"/>
                <w:lang w:eastAsia="en-GB"/>
                <w14:ligatures w14:val="none"/>
              </w:rPr>
              <w:br/>
              <w:t>'The restrictive effects of Georgian (over)indulgence' (Ailsa Maxwell, University of Oxford)</w:t>
            </w:r>
            <w:r w:rsidRPr="009C6A92">
              <w:rPr>
                <w:rFonts w:ascii="Century Gothic" w:eastAsia="Times New Roman" w:hAnsi="Century Gothic" w:cs="Times New Roman"/>
                <w:kern w:val="0"/>
                <w:sz w:val="16"/>
                <w:szCs w:val="16"/>
                <w:lang w:eastAsia="en-GB"/>
                <w14:ligatures w14:val="none"/>
              </w:rPr>
              <w:br/>
            </w:r>
            <w:r w:rsidRPr="009C6A92">
              <w:rPr>
                <w:rFonts w:ascii="Century Gothic" w:eastAsia="Times New Roman" w:hAnsi="Century Gothic" w:cs="Times New Roman"/>
                <w:kern w:val="0"/>
                <w:sz w:val="16"/>
                <w:szCs w:val="16"/>
                <w:lang w:eastAsia="en-GB"/>
                <w14:ligatures w14:val="none"/>
              </w:rPr>
              <w:br/>
              <w:t>'Eating for vitality: Digestion, self-nurturing, and the making of the hygienic body in late Qing China' (Ge Yang, Durham University)</w:t>
            </w:r>
          </w:p>
        </w:tc>
        <w:tc>
          <w:tcPr>
            <w:tcW w:w="4549" w:type="dxa"/>
            <w:tcBorders>
              <w:bottom w:val="single" w:sz="6" w:space="0" w:color="E0D1C3"/>
              <w:right w:val="single" w:sz="6" w:space="0" w:color="E0D1C3"/>
            </w:tcBorders>
            <w:shd w:val="clear" w:color="auto" w:fill="F4EFEB"/>
            <w:tcMar>
              <w:top w:w="0" w:type="dxa"/>
              <w:left w:w="45" w:type="dxa"/>
              <w:bottom w:w="0" w:type="dxa"/>
              <w:right w:w="45" w:type="dxa"/>
            </w:tcMar>
            <w:vAlign w:val="center"/>
            <w:hideMark/>
          </w:tcPr>
          <w:p w14:paraId="45CFF532" w14:textId="77777777" w:rsid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p>
          <w:p w14:paraId="19980DD0" w14:textId="77777777" w:rsid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r w:rsidRPr="00AD3E38">
              <w:rPr>
                <w:rFonts w:ascii="Century Gothic" w:eastAsia="Times New Roman" w:hAnsi="Century Gothic" w:cs="Times New Roman"/>
                <w:i/>
                <w:iCs/>
                <w:kern w:val="0"/>
                <w:sz w:val="18"/>
                <w:szCs w:val="18"/>
                <w:lang w:eastAsia="en-GB"/>
                <w14:ligatures w14:val="none"/>
              </w:rPr>
              <w:t>Panel 8: Bodies Politic</w:t>
            </w:r>
            <w:r w:rsidRPr="00AD3E38">
              <w:rPr>
                <w:rFonts w:ascii="Century Gothic" w:eastAsia="Times New Roman" w:hAnsi="Century Gothic" w:cs="Times New Roman"/>
                <w:i/>
                <w:iCs/>
                <w:kern w:val="0"/>
                <w:sz w:val="18"/>
                <w:szCs w:val="18"/>
                <w:lang w:eastAsia="en-GB"/>
                <w14:ligatures w14:val="none"/>
              </w:rPr>
              <w:br/>
            </w:r>
            <w:r w:rsidRPr="00AD3E38">
              <w:rPr>
                <w:rFonts w:ascii="Century Gothic" w:eastAsia="Times New Roman" w:hAnsi="Century Gothic" w:cs="Times New Roman"/>
                <w:i/>
                <w:iCs/>
                <w:kern w:val="0"/>
                <w:sz w:val="18"/>
                <w:szCs w:val="18"/>
                <w:lang w:eastAsia="en-GB"/>
                <w14:ligatures w14:val="none"/>
              </w:rPr>
              <w:br/>
            </w:r>
            <w:r w:rsidRPr="00C70EBF">
              <w:rPr>
                <w:rFonts w:ascii="Century Gothic" w:eastAsia="Times New Roman" w:hAnsi="Century Gothic" w:cs="Times New Roman"/>
                <w:kern w:val="0"/>
                <w:sz w:val="18"/>
                <w:szCs w:val="18"/>
                <w:lang w:eastAsia="en-GB"/>
                <w14:ligatures w14:val="none"/>
              </w:rPr>
              <w:t>'Running Bodies, Remembered Nations: Nostalgia, Embodiment, and Sporting Identity in Modern Japan' (Ziwei (Jade) Xuan, University of Edinburgh)</w:t>
            </w:r>
            <w:r w:rsidRPr="00C70EBF">
              <w:rPr>
                <w:rFonts w:ascii="Century Gothic" w:eastAsia="Times New Roman" w:hAnsi="Century Gothic" w:cs="Times New Roman"/>
                <w:kern w:val="0"/>
                <w:sz w:val="18"/>
                <w:szCs w:val="18"/>
                <w:lang w:eastAsia="en-GB"/>
                <w14:ligatures w14:val="none"/>
              </w:rPr>
              <w:br/>
            </w:r>
            <w:r w:rsidRPr="00C70EBF">
              <w:rPr>
                <w:rFonts w:ascii="Century Gothic" w:eastAsia="Times New Roman" w:hAnsi="Century Gothic" w:cs="Times New Roman"/>
                <w:kern w:val="0"/>
                <w:sz w:val="18"/>
                <w:szCs w:val="18"/>
                <w:lang w:eastAsia="en-GB"/>
                <w14:ligatures w14:val="none"/>
              </w:rPr>
              <w:br/>
              <w:t>'Le Cartel des Quatre: Theatre, Politics, and Actor Training in Interwar Paris' (Jonathan McAllister, University of Cambridge)</w:t>
            </w:r>
          </w:p>
          <w:p w14:paraId="6869AF1A" w14:textId="0D31AD3F" w:rsidR="00AD3E38" w:rsidRP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p>
        </w:tc>
        <w:tc>
          <w:tcPr>
            <w:tcW w:w="0" w:type="auto"/>
            <w:shd w:val="clear" w:color="auto" w:fill="E3EBE7"/>
            <w:tcMar>
              <w:top w:w="0" w:type="dxa"/>
              <w:left w:w="45" w:type="dxa"/>
              <w:bottom w:w="0" w:type="dxa"/>
              <w:right w:w="45" w:type="dxa"/>
            </w:tcMar>
            <w:vAlign w:val="center"/>
            <w:hideMark/>
          </w:tcPr>
          <w:p w14:paraId="396F5FD9" w14:textId="77777777" w:rsidR="00AD3E38" w:rsidRP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p>
        </w:tc>
      </w:tr>
      <w:tr w:rsidR="00AD3E38" w:rsidRPr="00AD3E38" w14:paraId="4C5F72B6" w14:textId="77777777" w:rsidTr="00AD3E38">
        <w:trPr>
          <w:trHeight w:val="1233"/>
          <w:tblCellSpacing w:w="0" w:type="dxa"/>
        </w:trPr>
        <w:tc>
          <w:tcPr>
            <w:tcW w:w="0" w:type="auto"/>
            <w:tcBorders>
              <w:right w:val="single" w:sz="6" w:space="0" w:color="E0D1C3"/>
            </w:tcBorders>
            <w:shd w:val="clear" w:color="auto" w:fill="E3EBE7"/>
            <w:tcMar>
              <w:top w:w="0" w:type="dxa"/>
              <w:left w:w="45" w:type="dxa"/>
              <w:bottom w:w="0" w:type="dxa"/>
              <w:right w:w="45" w:type="dxa"/>
            </w:tcMar>
            <w:vAlign w:val="center"/>
            <w:hideMark/>
          </w:tcPr>
          <w:p w14:paraId="673BEB66"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tcBorders>
              <w:bottom w:val="single" w:sz="6" w:space="0" w:color="E0D1C3"/>
              <w:right w:val="single" w:sz="6" w:space="0" w:color="E0D1C3"/>
            </w:tcBorders>
            <w:shd w:val="clear" w:color="auto" w:fill="FFFFFF"/>
            <w:tcMar>
              <w:top w:w="0" w:type="dxa"/>
              <w:left w:w="45" w:type="dxa"/>
              <w:bottom w:w="0" w:type="dxa"/>
              <w:right w:w="45" w:type="dxa"/>
            </w:tcMar>
            <w:vAlign w:val="center"/>
            <w:hideMark/>
          </w:tcPr>
          <w:p w14:paraId="00C293BB" w14:textId="77777777" w:rsidR="00AD3E38" w:rsidRPr="00AD3E38" w:rsidRDefault="00AD3E38" w:rsidP="00AF774A">
            <w:pPr>
              <w:spacing w:after="240"/>
              <w:rPr>
                <w:rFonts w:ascii="Century Gothic" w:eastAsia="Times New Roman" w:hAnsi="Century Gothic" w:cs="Times New Roman"/>
                <w:kern w:val="0"/>
                <w:sz w:val="18"/>
                <w:szCs w:val="18"/>
                <w:lang w:eastAsia="en-GB"/>
                <w14:ligatures w14:val="none"/>
              </w:rPr>
            </w:pPr>
            <w:r w:rsidRPr="00AD3E38">
              <w:rPr>
                <w:rFonts w:ascii="Century Gothic" w:eastAsia="Times New Roman" w:hAnsi="Century Gothic" w:cs="Times New Roman"/>
                <w:kern w:val="0"/>
                <w:sz w:val="18"/>
                <w:szCs w:val="18"/>
                <w:lang w:eastAsia="en-GB"/>
                <w14:ligatures w14:val="none"/>
              </w:rPr>
              <w:t>4:40 - 5:00</w:t>
            </w:r>
          </w:p>
        </w:tc>
        <w:tc>
          <w:tcPr>
            <w:tcW w:w="4810" w:type="dxa"/>
            <w:tcBorders>
              <w:bottom w:val="single" w:sz="6" w:space="0" w:color="E0D1C3"/>
              <w:right w:val="single" w:sz="6" w:space="0" w:color="E0D1C3"/>
            </w:tcBorders>
            <w:shd w:val="clear" w:color="auto" w:fill="F7E6DE"/>
            <w:tcMar>
              <w:top w:w="0" w:type="dxa"/>
              <w:left w:w="45" w:type="dxa"/>
              <w:bottom w:w="0" w:type="dxa"/>
              <w:right w:w="45" w:type="dxa"/>
            </w:tcMar>
            <w:vAlign w:val="center"/>
            <w:hideMark/>
          </w:tcPr>
          <w:p w14:paraId="43AA2C8C" w14:textId="77777777"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r w:rsidRPr="009C6A92">
              <w:rPr>
                <w:rFonts w:ascii="Century Gothic" w:eastAsia="Times New Roman" w:hAnsi="Century Gothic" w:cs="Times New Roman"/>
                <w:i/>
                <w:iCs/>
                <w:kern w:val="0"/>
                <w:sz w:val="16"/>
                <w:szCs w:val="16"/>
                <w:lang w:eastAsia="en-GB"/>
                <w14:ligatures w14:val="none"/>
              </w:rPr>
              <w:t>Closing Remarks and Discussion</w:t>
            </w:r>
          </w:p>
        </w:tc>
        <w:tc>
          <w:tcPr>
            <w:tcW w:w="4549" w:type="dxa"/>
            <w:tcBorders>
              <w:bottom w:val="single" w:sz="6" w:space="0" w:color="E0D1C3"/>
              <w:right w:val="single" w:sz="6" w:space="0" w:color="E0D1C3"/>
            </w:tcBorders>
            <w:shd w:val="clear" w:color="auto" w:fill="F4EFEB"/>
            <w:tcMar>
              <w:top w:w="0" w:type="dxa"/>
              <w:left w:w="45" w:type="dxa"/>
              <w:bottom w:w="0" w:type="dxa"/>
              <w:right w:w="45" w:type="dxa"/>
            </w:tcMar>
            <w:vAlign w:val="center"/>
            <w:hideMark/>
          </w:tcPr>
          <w:p w14:paraId="727BD8DD" w14:textId="77777777" w:rsidR="00AD3E38" w:rsidRP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r w:rsidRPr="00AD3E38">
              <w:rPr>
                <w:rFonts w:ascii="Century Gothic" w:eastAsia="Times New Roman" w:hAnsi="Century Gothic" w:cs="Times New Roman"/>
                <w:i/>
                <w:iCs/>
                <w:kern w:val="0"/>
                <w:sz w:val="18"/>
                <w:szCs w:val="18"/>
                <w:lang w:eastAsia="en-GB"/>
                <w14:ligatures w14:val="none"/>
              </w:rPr>
              <w:t>Closing Remarks and Discussion</w:t>
            </w:r>
          </w:p>
        </w:tc>
        <w:tc>
          <w:tcPr>
            <w:tcW w:w="0" w:type="auto"/>
            <w:shd w:val="clear" w:color="auto" w:fill="E3EBE7"/>
            <w:tcMar>
              <w:top w:w="0" w:type="dxa"/>
              <w:left w:w="45" w:type="dxa"/>
              <w:bottom w:w="0" w:type="dxa"/>
              <w:right w:w="45" w:type="dxa"/>
            </w:tcMar>
            <w:vAlign w:val="center"/>
            <w:hideMark/>
          </w:tcPr>
          <w:p w14:paraId="143B9212" w14:textId="77777777" w:rsidR="00AD3E38" w:rsidRP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p>
        </w:tc>
      </w:tr>
      <w:tr w:rsidR="00AD3E38" w:rsidRPr="00AD3E38" w14:paraId="7D130156" w14:textId="77777777" w:rsidTr="00AD3E38">
        <w:trPr>
          <w:trHeight w:val="1233"/>
          <w:tblCellSpacing w:w="0" w:type="dxa"/>
        </w:trPr>
        <w:tc>
          <w:tcPr>
            <w:tcW w:w="0" w:type="auto"/>
            <w:tcBorders>
              <w:right w:val="single" w:sz="6" w:space="0" w:color="E0D1C3"/>
            </w:tcBorders>
            <w:shd w:val="clear" w:color="auto" w:fill="E3EBE7"/>
            <w:tcMar>
              <w:top w:w="0" w:type="dxa"/>
              <w:left w:w="45" w:type="dxa"/>
              <w:bottom w:w="0" w:type="dxa"/>
              <w:right w:w="45" w:type="dxa"/>
            </w:tcMar>
            <w:vAlign w:val="center"/>
            <w:hideMark/>
          </w:tcPr>
          <w:p w14:paraId="04C09679"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tcBorders>
              <w:right w:val="single" w:sz="6" w:space="0" w:color="E0D1C3"/>
            </w:tcBorders>
            <w:shd w:val="clear" w:color="auto" w:fill="FFFFFF"/>
            <w:tcMar>
              <w:top w:w="0" w:type="dxa"/>
              <w:left w:w="45" w:type="dxa"/>
              <w:bottom w:w="0" w:type="dxa"/>
              <w:right w:w="45" w:type="dxa"/>
            </w:tcMar>
            <w:vAlign w:val="center"/>
            <w:hideMark/>
          </w:tcPr>
          <w:p w14:paraId="6B595813" w14:textId="77777777" w:rsidR="00AD3E38" w:rsidRPr="00AD3E38" w:rsidRDefault="00AD3E38" w:rsidP="00AF774A">
            <w:pPr>
              <w:spacing w:after="240"/>
              <w:rPr>
                <w:rFonts w:ascii="Century Gothic" w:eastAsia="Times New Roman" w:hAnsi="Century Gothic" w:cs="Times New Roman"/>
                <w:kern w:val="0"/>
                <w:sz w:val="18"/>
                <w:szCs w:val="18"/>
                <w:lang w:eastAsia="en-GB"/>
                <w14:ligatures w14:val="none"/>
              </w:rPr>
            </w:pPr>
            <w:r w:rsidRPr="00AD3E38">
              <w:rPr>
                <w:rFonts w:ascii="Century Gothic" w:eastAsia="Times New Roman" w:hAnsi="Century Gothic" w:cs="Times New Roman"/>
                <w:kern w:val="0"/>
                <w:sz w:val="18"/>
                <w:szCs w:val="18"/>
                <w:lang w:eastAsia="en-GB"/>
                <w14:ligatures w14:val="none"/>
              </w:rPr>
              <w:t>5:00</w:t>
            </w:r>
          </w:p>
        </w:tc>
        <w:tc>
          <w:tcPr>
            <w:tcW w:w="0" w:type="auto"/>
            <w:gridSpan w:val="2"/>
            <w:tcBorders>
              <w:bottom w:val="single" w:sz="6" w:space="0" w:color="E0D1C3"/>
            </w:tcBorders>
            <w:shd w:val="clear" w:color="auto" w:fill="EFCEBE"/>
            <w:tcMar>
              <w:top w:w="0" w:type="dxa"/>
              <w:left w:w="45" w:type="dxa"/>
              <w:bottom w:w="0" w:type="dxa"/>
              <w:right w:w="45" w:type="dxa"/>
            </w:tcMar>
            <w:vAlign w:val="center"/>
            <w:hideMark/>
          </w:tcPr>
          <w:p w14:paraId="5D94D2FA" w14:textId="77777777" w:rsidR="00AD3E38" w:rsidRPr="009C6A92" w:rsidRDefault="00AD3E38" w:rsidP="00AF774A">
            <w:pPr>
              <w:spacing w:after="240"/>
              <w:jc w:val="center"/>
              <w:rPr>
                <w:rFonts w:ascii="Century Gothic" w:eastAsia="Times New Roman" w:hAnsi="Century Gothic" w:cs="Times New Roman"/>
                <w:i/>
                <w:iCs/>
                <w:kern w:val="0"/>
                <w:sz w:val="16"/>
                <w:szCs w:val="16"/>
                <w:lang w:eastAsia="en-GB"/>
                <w14:ligatures w14:val="none"/>
              </w:rPr>
            </w:pPr>
            <w:r w:rsidRPr="009C6A92">
              <w:rPr>
                <w:rFonts w:ascii="Century Gothic" w:eastAsia="Times New Roman" w:hAnsi="Century Gothic" w:cs="Times New Roman"/>
                <w:i/>
                <w:iCs/>
                <w:kern w:val="0"/>
                <w:sz w:val="16"/>
                <w:szCs w:val="16"/>
                <w:lang w:eastAsia="en-GB"/>
                <w14:ligatures w14:val="none"/>
              </w:rPr>
              <w:t>Conference Drinks </w:t>
            </w:r>
            <w:r w:rsidRPr="009C6A92">
              <w:rPr>
                <w:rFonts w:ascii="Century Gothic" w:eastAsia="Times New Roman" w:hAnsi="Century Gothic" w:cs="Times New Roman"/>
                <w:i/>
                <w:iCs/>
                <w:kern w:val="0"/>
                <w:sz w:val="16"/>
                <w:szCs w:val="16"/>
                <w:lang w:eastAsia="en-GB"/>
                <w14:ligatures w14:val="none"/>
              </w:rPr>
              <w:br/>
              <w:t>Details to follow </w:t>
            </w:r>
          </w:p>
        </w:tc>
        <w:tc>
          <w:tcPr>
            <w:tcW w:w="0" w:type="auto"/>
            <w:shd w:val="clear" w:color="auto" w:fill="E3EBE7"/>
            <w:tcMar>
              <w:top w:w="0" w:type="dxa"/>
              <w:left w:w="45" w:type="dxa"/>
              <w:bottom w:w="0" w:type="dxa"/>
              <w:right w:w="45" w:type="dxa"/>
            </w:tcMar>
            <w:vAlign w:val="center"/>
            <w:hideMark/>
          </w:tcPr>
          <w:p w14:paraId="316EA740" w14:textId="77777777" w:rsidR="00AD3E38" w:rsidRPr="00AD3E38" w:rsidRDefault="00AD3E38" w:rsidP="00AF774A">
            <w:pPr>
              <w:spacing w:after="240"/>
              <w:jc w:val="center"/>
              <w:rPr>
                <w:rFonts w:ascii="Century Gothic" w:eastAsia="Times New Roman" w:hAnsi="Century Gothic" w:cs="Times New Roman"/>
                <w:i/>
                <w:iCs/>
                <w:kern w:val="0"/>
                <w:sz w:val="18"/>
                <w:szCs w:val="18"/>
                <w:lang w:eastAsia="en-GB"/>
                <w14:ligatures w14:val="none"/>
              </w:rPr>
            </w:pPr>
          </w:p>
        </w:tc>
      </w:tr>
      <w:tr w:rsidR="00AD3E38" w:rsidRPr="00AD3E38" w14:paraId="382756B8" w14:textId="77777777" w:rsidTr="00AD3E38">
        <w:trPr>
          <w:trHeight w:val="301"/>
          <w:tblCellSpacing w:w="0" w:type="dxa"/>
        </w:trPr>
        <w:tc>
          <w:tcPr>
            <w:tcW w:w="0" w:type="auto"/>
            <w:tcMar>
              <w:top w:w="0" w:type="dxa"/>
              <w:left w:w="45" w:type="dxa"/>
              <w:bottom w:w="0" w:type="dxa"/>
              <w:right w:w="45" w:type="dxa"/>
            </w:tcMar>
            <w:vAlign w:val="center"/>
            <w:hideMark/>
          </w:tcPr>
          <w:p w14:paraId="5D273E32"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shd w:val="clear" w:color="auto" w:fill="E3EBE7"/>
            <w:tcMar>
              <w:top w:w="0" w:type="dxa"/>
              <w:left w:w="45" w:type="dxa"/>
              <w:bottom w:w="0" w:type="dxa"/>
              <w:right w:w="45" w:type="dxa"/>
            </w:tcMar>
            <w:vAlign w:val="center"/>
            <w:hideMark/>
          </w:tcPr>
          <w:p w14:paraId="4589EB0A"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4810" w:type="dxa"/>
            <w:shd w:val="clear" w:color="auto" w:fill="E3EBE7"/>
            <w:tcMar>
              <w:top w:w="0" w:type="dxa"/>
              <w:left w:w="45" w:type="dxa"/>
              <w:bottom w:w="0" w:type="dxa"/>
              <w:right w:w="45" w:type="dxa"/>
            </w:tcMar>
            <w:vAlign w:val="center"/>
            <w:hideMark/>
          </w:tcPr>
          <w:p w14:paraId="570AC788"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4549" w:type="dxa"/>
            <w:shd w:val="clear" w:color="auto" w:fill="E3EBE7"/>
            <w:tcMar>
              <w:top w:w="0" w:type="dxa"/>
              <w:left w:w="45" w:type="dxa"/>
              <w:bottom w:w="0" w:type="dxa"/>
              <w:right w:w="45" w:type="dxa"/>
            </w:tcMar>
            <w:vAlign w:val="center"/>
            <w:hideMark/>
          </w:tcPr>
          <w:p w14:paraId="539591A2"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c>
          <w:tcPr>
            <w:tcW w:w="0" w:type="auto"/>
            <w:vAlign w:val="center"/>
            <w:hideMark/>
          </w:tcPr>
          <w:p w14:paraId="2C00DCE7" w14:textId="77777777" w:rsidR="00AD3E38" w:rsidRPr="00AD3E38" w:rsidRDefault="00AD3E38" w:rsidP="00AF774A">
            <w:pPr>
              <w:spacing w:after="240"/>
              <w:rPr>
                <w:rFonts w:ascii="Times New Roman" w:eastAsia="Times New Roman" w:hAnsi="Times New Roman" w:cs="Times New Roman"/>
                <w:kern w:val="0"/>
                <w:sz w:val="18"/>
                <w:szCs w:val="18"/>
                <w:lang w:eastAsia="en-GB"/>
                <w14:ligatures w14:val="none"/>
              </w:rPr>
            </w:pPr>
          </w:p>
        </w:tc>
      </w:tr>
    </w:tbl>
    <w:p w14:paraId="32848F62" w14:textId="72AF0C57" w:rsidR="00C70EBF" w:rsidRDefault="00C70EBF" w:rsidP="00AF774A">
      <w:pPr>
        <w:spacing w:after="240"/>
        <w:rPr>
          <w:rFonts w:ascii="Century Gothic" w:hAnsi="Century Gothic"/>
          <w:sz w:val="18"/>
          <w:szCs w:val="18"/>
        </w:rPr>
      </w:pPr>
    </w:p>
    <w:p w14:paraId="407968CE" w14:textId="77777777" w:rsidR="00C70EBF" w:rsidRDefault="00C70EBF" w:rsidP="00AF774A">
      <w:pPr>
        <w:spacing w:after="240"/>
        <w:rPr>
          <w:rFonts w:ascii="Century Gothic" w:hAnsi="Century Gothic"/>
          <w:sz w:val="18"/>
          <w:szCs w:val="18"/>
        </w:rPr>
      </w:pPr>
      <w:r>
        <w:rPr>
          <w:rFonts w:ascii="Century Gothic" w:hAnsi="Century Gothic"/>
          <w:sz w:val="18"/>
          <w:szCs w:val="18"/>
        </w:rPr>
        <w:br w:type="page"/>
      </w:r>
    </w:p>
    <w:p w14:paraId="6E73FC9D" w14:textId="3134ACA8" w:rsidR="0015543C" w:rsidRDefault="0015543C" w:rsidP="00AF774A">
      <w:pPr>
        <w:spacing w:after="240"/>
        <w:rPr>
          <w:rFonts w:ascii="Century Gothic" w:hAnsi="Century Gothic"/>
          <w:sz w:val="22"/>
          <w:szCs w:val="22"/>
        </w:rPr>
      </w:pPr>
    </w:p>
    <w:p w14:paraId="69612078" w14:textId="7A0CC864" w:rsidR="00C70EBF" w:rsidRPr="000A59C4" w:rsidRDefault="00C70EBF" w:rsidP="000A59C4">
      <w:pPr>
        <w:spacing w:after="240" w:line="360" w:lineRule="auto"/>
        <w:jc w:val="center"/>
        <w:rPr>
          <w:rFonts w:ascii="Century Gothic" w:hAnsi="Century Gothic"/>
          <w:b/>
          <w:bCs/>
          <w:sz w:val="22"/>
          <w:szCs w:val="22"/>
        </w:rPr>
      </w:pPr>
      <w:r w:rsidRPr="00C70EBF">
        <w:rPr>
          <w:rFonts w:ascii="Century Gothic" w:hAnsi="Century Gothic"/>
          <w:b/>
          <w:bCs/>
          <w:sz w:val="22"/>
          <w:szCs w:val="22"/>
        </w:rPr>
        <w:t>Abstracts</w:t>
      </w:r>
    </w:p>
    <w:p w14:paraId="039A7568" w14:textId="32D9D346" w:rsidR="00C70EBF" w:rsidRPr="00C70EBF" w:rsidRDefault="00C70EBF" w:rsidP="00AF774A">
      <w:pPr>
        <w:spacing w:after="240" w:line="360" w:lineRule="auto"/>
        <w:jc w:val="center"/>
        <w:rPr>
          <w:rFonts w:ascii="Century Gothic" w:hAnsi="Century Gothic"/>
          <w:b/>
          <w:bCs/>
          <w:i/>
          <w:iCs/>
          <w:sz w:val="18"/>
          <w:szCs w:val="18"/>
        </w:rPr>
      </w:pPr>
      <w:r w:rsidRPr="00C70EBF">
        <w:rPr>
          <w:rFonts w:ascii="Century Gothic" w:hAnsi="Century Gothic"/>
          <w:b/>
          <w:bCs/>
          <w:i/>
          <w:iCs/>
          <w:sz w:val="18"/>
          <w:szCs w:val="18"/>
        </w:rPr>
        <w:t>Panel 1: The Institutionalised Body</w:t>
      </w:r>
    </w:p>
    <w:p w14:paraId="516F39E7" w14:textId="0803332F" w:rsidR="00C70EBF" w:rsidRPr="000A59C4" w:rsidRDefault="00C70EBF" w:rsidP="00AF774A">
      <w:pPr>
        <w:spacing w:after="240" w:line="360" w:lineRule="auto"/>
        <w:rPr>
          <w:rFonts w:ascii="Century Gothic" w:hAnsi="Century Gothic"/>
          <w:b/>
          <w:bCs/>
          <w:sz w:val="18"/>
          <w:szCs w:val="18"/>
        </w:rPr>
      </w:pPr>
      <w:r w:rsidRPr="000A59C4">
        <w:rPr>
          <w:rFonts w:ascii="Century Gothic" w:hAnsi="Century Gothic"/>
          <w:b/>
          <w:bCs/>
          <w:sz w:val="18"/>
          <w:szCs w:val="18"/>
        </w:rPr>
        <w:t>'Between Instrument and Sabotage: The Captive Body in German Prisoner of War Camps' (Sarah J Bremer, University of Wolverhamptom)</w:t>
      </w:r>
    </w:p>
    <w:p w14:paraId="5CA88E79" w14:textId="77777777" w:rsidR="007763D7" w:rsidRPr="007763D7" w:rsidRDefault="007763D7" w:rsidP="007763D7">
      <w:pPr>
        <w:spacing w:after="240" w:line="360" w:lineRule="auto"/>
        <w:rPr>
          <w:rFonts w:ascii="Century Gothic" w:hAnsi="Century Gothic"/>
          <w:sz w:val="18"/>
          <w:szCs w:val="18"/>
        </w:rPr>
      </w:pPr>
      <w:r w:rsidRPr="007763D7">
        <w:rPr>
          <w:rFonts w:ascii="Century Gothic" w:hAnsi="Century Gothic"/>
          <w:sz w:val="18"/>
          <w:szCs w:val="18"/>
        </w:rPr>
        <w:t>This paper examines the First World War prisoner of war camp as a site in which the captive body was both economically instrumentalised and contingently contested. German war-economy policy reconceived prisoners as labour resources, calibrating rations, medical treatment, and exchange eligibility to preserve productive capacity amid domestic scarcity. Archival evidence demonstrates how bodily value was assessed through output: labour-capable men were retained, labour-injured bodies excluded from exchange, and medical intervention frequently limited to restoring work fitness. The captive body thus functioned as labour capital within a system of national self-preservation.</w:t>
      </w:r>
    </w:p>
    <w:p w14:paraId="496EB10A" w14:textId="77777777" w:rsidR="007763D7" w:rsidRPr="007763D7" w:rsidRDefault="007763D7" w:rsidP="007763D7">
      <w:pPr>
        <w:spacing w:after="240" w:line="360" w:lineRule="auto"/>
        <w:rPr>
          <w:rFonts w:ascii="Century Gothic" w:hAnsi="Century Gothic"/>
          <w:sz w:val="18"/>
          <w:szCs w:val="18"/>
        </w:rPr>
      </w:pPr>
      <w:r w:rsidRPr="007763D7">
        <w:rPr>
          <w:rFonts w:ascii="Century Gothic" w:hAnsi="Century Gothic"/>
          <w:sz w:val="18"/>
          <w:szCs w:val="18"/>
        </w:rPr>
        <w:t>Yet this instrumental logic did not eliminate embodied agency. Testimony from British prisoners suggests that in certain coercive contexts — particularly punitive labour detachments — bodily breakdown could alter a prisoner’s position within the camp regime. Self-harm and collapse were not uniformly strategic, nor uniformly pathological; rather, they emerged within conditions in which mobility, protest, and refusal were structurally constrained. Under such pressures, the body could become a fraught site through which circumstances shifted, even at severe personal cost.</w:t>
      </w:r>
    </w:p>
    <w:p w14:paraId="69F092BC" w14:textId="6ED52E4B" w:rsidR="00C70EBF" w:rsidRPr="00C70EBF" w:rsidRDefault="007763D7" w:rsidP="00AF774A">
      <w:pPr>
        <w:spacing w:after="240" w:line="360" w:lineRule="auto"/>
        <w:rPr>
          <w:rFonts w:ascii="Century Gothic" w:hAnsi="Century Gothic"/>
          <w:sz w:val="18"/>
          <w:szCs w:val="18"/>
        </w:rPr>
      </w:pPr>
      <w:r w:rsidRPr="007763D7">
        <w:rPr>
          <w:rFonts w:ascii="Century Gothic" w:hAnsi="Century Gothic"/>
          <w:sz w:val="18"/>
          <w:szCs w:val="18"/>
        </w:rPr>
        <w:t>By positioning the captive body between instrument and sabotage, this paper reframes captivity as a struggle over embodied value, highlighting the unstable boundary between vulnerability and constrained resistance in wartime imprisonment.</w:t>
      </w:r>
    </w:p>
    <w:p w14:paraId="1D18CD87" w14:textId="0FA742C7" w:rsidR="00C70EBF" w:rsidRPr="000A59C4" w:rsidRDefault="00C70EBF" w:rsidP="00AF774A">
      <w:pPr>
        <w:spacing w:after="240" w:line="360" w:lineRule="auto"/>
        <w:rPr>
          <w:rFonts w:ascii="Century Gothic" w:hAnsi="Century Gothic"/>
          <w:b/>
          <w:bCs/>
          <w:sz w:val="18"/>
          <w:szCs w:val="18"/>
        </w:rPr>
      </w:pPr>
      <w:r w:rsidRPr="000A59C4">
        <w:rPr>
          <w:rFonts w:ascii="Century Gothic" w:hAnsi="Century Gothic"/>
          <w:b/>
          <w:bCs/>
          <w:sz w:val="18"/>
          <w:szCs w:val="18"/>
        </w:rPr>
        <w:t>'The Standard of Living of Female Offenders in Durham, Newcastle and County of York 1853-1888' (Kerri Armstrong, Northumbria University)</w:t>
      </w:r>
    </w:p>
    <w:p w14:paraId="6C751989" w14:textId="13B40778" w:rsidR="00C70EBF" w:rsidRDefault="007763D7" w:rsidP="00AF774A">
      <w:pPr>
        <w:spacing w:after="240" w:line="360" w:lineRule="auto"/>
        <w:rPr>
          <w:rFonts w:ascii="Century Gothic" w:hAnsi="Century Gothic"/>
          <w:sz w:val="18"/>
          <w:szCs w:val="18"/>
        </w:rPr>
      </w:pPr>
      <w:r w:rsidRPr="007763D7">
        <w:rPr>
          <w:rFonts w:ascii="Century Gothic" w:hAnsi="Century Gothic"/>
          <w:sz w:val="18"/>
          <w:szCs w:val="18"/>
        </w:rPr>
        <w:t>This paper explores the economic, social and environment conditions of two hundred</w:t>
      </w:r>
      <w:r>
        <w:rPr>
          <w:rFonts w:ascii="Century Gothic" w:hAnsi="Century Gothic"/>
          <w:sz w:val="18"/>
          <w:szCs w:val="18"/>
        </w:rPr>
        <w:t xml:space="preserve"> </w:t>
      </w:r>
      <w:r w:rsidRPr="007763D7">
        <w:rPr>
          <w:rFonts w:ascii="Century Gothic" w:hAnsi="Century Gothic"/>
          <w:sz w:val="18"/>
          <w:szCs w:val="18"/>
        </w:rPr>
        <w:t>and thirteen sampled women that were convicted by the Sessions and Assizes Courts of</w:t>
      </w:r>
      <w:r>
        <w:rPr>
          <w:rFonts w:ascii="Century Gothic" w:hAnsi="Century Gothic"/>
          <w:sz w:val="18"/>
          <w:szCs w:val="18"/>
        </w:rPr>
        <w:t xml:space="preserve"> </w:t>
      </w:r>
      <w:r w:rsidRPr="007763D7">
        <w:rPr>
          <w:rFonts w:ascii="Century Gothic" w:hAnsi="Century Gothic"/>
          <w:sz w:val="18"/>
          <w:szCs w:val="18"/>
        </w:rPr>
        <w:t>Durham, Newcastle and the County of York between, 1853-1888, by providing a regional</w:t>
      </w:r>
      <w:r>
        <w:rPr>
          <w:rFonts w:ascii="Century Gothic" w:hAnsi="Century Gothic"/>
          <w:sz w:val="18"/>
          <w:szCs w:val="18"/>
        </w:rPr>
        <w:t xml:space="preserve"> </w:t>
      </w:r>
      <w:r w:rsidRPr="007763D7">
        <w:rPr>
          <w:rFonts w:ascii="Century Gothic" w:hAnsi="Century Gothic"/>
          <w:sz w:val="18"/>
          <w:szCs w:val="18"/>
        </w:rPr>
        <w:t>case study of the quality of living of the women of the working classes in the northeast</w:t>
      </w:r>
      <w:r>
        <w:rPr>
          <w:rFonts w:ascii="Century Gothic" w:hAnsi="Century Gothic"/>
          <w:sz w:val="18"/>
          <w:szCs w:val="18"/>
        </w:rPr>
        <w:t xml:space="preserve"> </w:t>
      </w:r>
      <w:r w:rsidRPr="007763D7">
        <w:rPr>
          <w:rFonts w:ascii="Century Gothic" w:hAnsi="Century Gothic"/>
          <w:sz w:val="18"/>
          <w:szCs w:val="18"/>
        </w:rPr>
        <w:t>England. The primary resource used for this paper is parole records taken from the UK</w:t>
      </w:r>
      <w:r>
        <w:rPr>
          <w:rFonts w:ascii="Century Gothic" w:hAnsi="Century Gothic"/>
          <w:sz w:val="18"/>
          <w:szCs w:val="18"/>
        </w:rPr>
        <w:t xml:space="preserve"> </w:t>
      </w:r>
      <w:r w:rsidRPr="007763D7">
        <w:rPr>
          <w:rFonts w:ascii="Century Gothic" w:hAnsi="Century Gothic"/>
          <w:sz w:val="18"/>
          <w:szCs w:val="18"/>
        </w:rPr>
        <w:t>Licence of Parole of Female Convicts, 1853-1871, 1883-1887, held at the National</w:t>
      </w:r>
      <w:r>
        <w:rPr>
          <w:rFonts w:ascii="Century Gothic" w:hAnsi="Century Gothic"/>
          <w:sz w:val="18"/>
          <w:szCs w:val="18"/>
        </w:rPr>
        <w:t xml:space="preserve"> </w:t>
      </w:r>
      <w:r w:rsidRPr="007763D7">
        <w:rPr>
          <w:rFonts w:ascii="Century Gothic" w:hAnsi="Century Gothic"/>
          <w:sz w:val="18"/>
          <w:szCs w:val="18"/>
        </w:rPr>
        <w:t>Archives under PCOM4 and digitised on ancestry.com. Drawing on height and weight data</w:t>
      </w:r>
      <w:r>
        <w:rPr>
          <w:rFonts w:ascii="Century Gothic" w:hAnsi="Century Gothic"/>
          <w:sz w:val="18"/>
          <w:szCs w:val="18"/>
        </w:rPr>
        <w:t xml:space="preserve"> </w:t>
      </w:r>
      <w:r w:rsidRPr="007763D7">
        <w:rPr>
          <w:rFonts w:ascii="Century Gothic" w:hAnsi="Century Gothic"/>
          <w:sz w:val="18"/>
          <w:szCs w:val="18"/>
        </w:rPr>
        <w:t>recorded in each woman’s parole file, this paper examines the relationship between body</w:t>
      </w:r>
      <w:r>
        <w:rPr>
          <w:rFonts w:ascii="Century Gothic" w:hAnsi="Century Gothic"/>
          <w:sz w:val="18"/>
          <w:szCs w:val="18"/>
        </w:rPr>
        <w:t xml:space="preserve"> </w:t>
      </w:r>
      <w:r w:rsidRPr="007763D7">
        <w:rPr>
          <w:rFonts w:ascii="Century Gothic" w:hAnsi="Century Gothic"/>
          <w:sz w:val="18"/>
          <w:szCs w:val="18"/>
        </w:rPr>
        <w:t>measurements and living standards, documenting the bodies that bore witness to the</w:t>
      </w:r>
      <w:r>
        <w:rPr>
          <w:rFonts w:ascii="Century Gothic" w:hAnsi="Century Gothic"/>
          <w:sz w:val="18"/>
          <w:szCs w:val="18"/>
        </w:rPr>
        <w:t xml:space="preserve"> </w:t>
      </w:r>
      <w:r w:rsidRPr="007763D7">
        <w:rPr>
          <w:rFonts w:ascii="Century Gothic" w:hAnsi="Century Gothic"/>
          <w:sz w:val="18"/>
          <w:szCs w:val="18"/>
        </w:rPr>
        <w:t>harsh realities of life. Anthropometric research has instigated the use of different</w:t>
      </w:r>
      <w:r>
        <w:rPr>
          <w:rFonts w:ascii="Century Gothic" w:hAnsi="Century Gothic"/>
          <w:sz w:val="18"/>
          <w:szCs w:val="18"/>
        </w:rPr>
        <w:t xml:space="preserve"> </w:t>
      </w:r>
      <w:r w:rsidRPr="007763D7">
        <w:rPr>
          <w:rFonts w:ascii="Century Gothic" w:hAnsi="Century Gothic"/>
          <w:sz w:val="18"/>
          <w:szCs w:val="18"/>
        </w:rPr>
        <w:t>methods for measuring human quality of life other than economic development, such as</w:t>
      </w:r>
      <w:r>
        <w:rPr>
          <w:rFonts w:ascii="Century Gothic" w:hAnsi="Century Gothic"/>
          <w:sz w:val="18"/>
          <w:szCs w:val="18"/>
        </w:rPr>
        <w:t xml:space="preserve"> </w:t>
      </w:r>
      <w:r w:rsidRPr="007763D7">
        <w:rPr>
          <w:rFonts w:ascii="Century Gothic" w:hAnsi="Century Gothic"/>
          <w:sz w:val="18"/>
          <w:szCs w:val="18"/>
        </w:rPr>
        <w:t>height, weight or BMI, demonstrating their importance as an indicator of an individual’s</w:t>
      </w:r>
      <w:r>
        <w:rPr>
          <w:rFonts w:ascii="Century Gothic" w:hAnsi="Century Gothic"/>
          <w:sz w:val="18"/>
          <w:szCs w:val="18"/>
        </w:rPr>
        <w:t xml:space="preserve"> </w:t>
      </w:r>
      <w:r w:rsidRPr="007763D7">
        <w:rPr>
          <w:rFonts w:ascii="Century Gothic" w:hAnsi="Century Gothic"/>
          <w:sz w:val="18"/>
          <w:szCs w:val="18"/>
        </w:rPr>
        <w:t>socio – economic environment. Living environment is intrinsic to health, but data about</w:t>
      </w:r>
      <w:r>
        <w:rPr>
          <w:rFonts w:ascii="Century Gothic" w:hAnsi="Century Gothic"/>
          <w:sz w:val="18"/>
          <w:szCs w:val="18"/>
        </w:rPr>
        <w:t xml:space="preserve"> </w:t>
      </w:r>
      <w:r w:rsidRPr="007763D7">
        <w:rPr>
          <w:rFonts w:ascii="Century Gothic" w:hAnsi="Century Gothic"/>
          <w:sz w:val="18"/>
          <w:szCs w:val="18"/>
        </w:rPr>
        <w:t>women’s bodies can be hard to find. This paper contributes not only to the field of female</w:t>
      </w:r>
      <w:r>
        <w:rPr>
          <w:rFonts w:ascii="Century Gothic" w:hAnsi="Century Gothic"/>
          <w:sz w:val="18"/>
          <w:szCs w:val="18"/>
        </w:rPr>
        <w:t xml:space="preserve"> </w:t>
      </w:r>
      <w:r w:rsidRPr="007763D7">
        <w:rPr>
          <w:rFonts w:ascii="Century Gothic" w:hAnsi="Century Gothic"/>
          <w:sz w:val="18"/>
          <w:szCs w:val="18"/>
        </w:rPr>
        <w:t>standard of living by presenting new evidence from a previously unexamined source, but</w:t>
      </w:r>
      <w:r>
        <w:rPr>
          <w:rFonts w:ascii="Century Gothic" w:hAnsi="Century Gothic"/>
          <w:sz w:val="18"/>
          <w:szCs w:val="18"/>
        </w:rPr>
        <w:t xml:space="preserve"> </w:t>
      </w:r>
      <w:r w:rsidRPr="007763D7">
        <w:rPr>
          <w:rFonts w:ascii="Century Gothic" w:hAnsi="Century Gothic"/>
          <w:sz w:val="18"/>
          <w:szCs w:val="18"/>
        </w:rPr>
        <w:t>also to the field of female crime by considering each offender as a whole person, and not</w:t>
      </w:r>
      <w:r>
        <w:rPr>
          <w:rFonts w:ascii="Century Gothic" w:hAnsi="Century Gothic"/>
          <w:sz w:val="18"/>
          <w:szCs w:val="18"/>
        </w:rPr>
        <w:t xml:space="preserve"> </w:t>
      </w:r>
      <w:r w:rsidRPr="007763D7">
        <w:rPr>
          <w:rFonts w:ascii="Century Gothic" w:hAnsi="Century Gothic"/>
          <w:sz w:val="18"/>
          <w:szCs w:val="18"/>
        </w:rPr>
        <w:t>just a snapshot of their criminality.</w:t>
      </w:r>
    </w:p>
    <w:p w14:paraId="5E8B4A0F" w14:textId="36F097E3" w:rsidR="00C70EBF" w:rsidRPr="000A59C4" w:rsidRDefault="00C70EBF" w:rsidP="00AF774A">
      <w:pPr>
        <w:spacing w:after="240" w:line="360" w:lineRule="auto"/>
        <w:rPr>
          <w:rFonts w:ascii="Century Gothic" w:hAnsi="Century Gothic"/>
          <w:b/>
          <w:bCs/>
          <w:sz w:val="18"/>
          <w:szCs w:val="18"/>
        </w:rPr>
      </w:pPr>
      <w:r w:rsidRPr="000A59C4">
        <w:rPr>
          <w:rFonts w:ascii="Century Gothic" w:hAnsi="Century Gothic"/>
          <w:b/>
          <w:bCs/>
          <w:sz w:val="18"/>
          <w:szCs w:val="18"/>
        </w:rPr>
        <w:t>'‘We endeavour in every possible way to restore them physically’: The Metropolitan Police Home and the care of sexually abused girls in early 20th century London' (Seonaid Anthoney, Independent Researcher)</w:t>
      </w:r>
    </w:p>
    <w:p w14:paraId="6AFA2531" w14:textId="6AEF14D4" w:rsidR="00C70EBF" w:rsidRDefault="007763D7" w:rsidP="00AF774A">
      <w:pPr>
        <w:spacing w:after="240" w:line="360" w:lineRule="auto"/>
        <w:rPr>
          <w:rFonts w:ascii="Century Gothic" w:hAnsi="Century Gothic"/>
          <w:sz w:val="18"/>
          <w:szCs w:val="18"/>
        </w:rPr>
      </w:pPr>
      <w:r w:rsidRPr="007763D7">
        <w:rPr>
          <w:rFonts w:ascii="Century Gothic" w:hAnsi="Century Gothic"/>
          <w:sz w:val="18"/>
          <w:szCs w:val="18"/>
        </w:rPr>
        <w:t xml:space="preserve">In 1911 the Metropolitan Police Home for Women and Children was founded in Lambeth toaccommodate young female victims of sexual violence whilst they provided witness testimony in court. In sexual abuse cases, the body was </w:t>
      </w:r>
      <w:r w:rsidRPr="007763D7">
        <w:rPr>
          <w:rFonts w:ascii="Century Gothic" w:hAnsi="Century Gothic"/>
          <w:sz w:val="18"/>
          <w:szCs w:val="18"/>
        </w:rPr>
        <w:lastRenderedPageBreak/>
        <w:t>the site of the crime, therefore it was subjected to invasive medical examinations by doctors, scrutiny in the court and cleansing at the Police Home. Despite a growing body of literature on children’s residential homes and sexual abuse in the nineteenth and twentieth century, scholars have largely neglected the Police Home. This study examines sources previously largely unexamined: the Police Home Annual Reports from 1911-1933 and the Mary Leaf Fund Annual Reports from 1914-1933. The Police Home provides new insight into the treatment of child sexual abuse victims in early twentieth century London and how the body was viewed as an important aspect of rescue work. Building upon Julia Laite’s initial work on the Police Home and the work of Louise Jackson, Laura Lamasneimi and Victoria Bates on child sexual abuse in Victorian and Edwardian England this paper seeks to understand how the body was treated in the care of sexually abused girls in London through a case study of the Police Home.</w:t>
      </w:r>
    </w:p>
    <w:p w14:paraId="327F51D3" w14:textId="77777777" w:rsidR="00C70EBF" w:rsidRDefault="00C70EBF" w:rsidP="00AF774A">
      <w:pPr>
        <w:spacing w:after="240" w:line="360" w:lineRule="auto"/>
        <w:rPr>
          <w:rFonts w:ascii="Century Gothic" w:hAnsi="Century Gothic"/>
          <w:sz w:val="18"/>
          <w:szCs w:val="18"/>
        </w:rPr>
      </w:pPr>
    </w:p>
    <w:p w14:paraId="43098229" w14:textId="77777777" w:rsidR="00C70EBF" w:rsidRPr="00C70EBF" w:rsidRDefault="00C70EBF" w:rsidP="00AF774A">
      <w:pPr>
        <w:spacing w:after="240" w:line="360" w:lineRule="auto"/>
        <w:jc w:val="center"/>
        <w:rPr>
          <w:rFonts w:ascii="Century Gothic" w:hAnsi="Century Gothic"/>
          <w:b/>
          <w:bCs/>
          <w:i/>
          <w:iCs/>
          <w:sz w:val="18"/>
          <w:szCs w:val="18"/>
        </w:rPr>
      </w:pPr>
      <w:r w:rsidRPr="00C70EBF">
        <w:rPr>
          <w:rFonts w:ascii="Century Gothic" w:hAnsi="Century Gothic"/>
          <w:b/>
          <w:bCs/>
          <w:i/>
          <w:iCs/>
          <w:sz w:val="18"/>
          <w:szCs w:val="18"/>
        </w:rPr>
        <w:t>Panel 2: The Body in Performance</w:t>
      </w:r>
    </w:p>
    <w:p w14:paraId="674B8071" w14:textId="4EAFF2A8" w:rsidR="00C70EBF" w:rsidRPr="000A59C4" w:rsidRDefault="00C70EBF" w:rsidP="00AF774A">
      <w:pPr>
        <w:spacing w:after="240" w:line="360" w:lineRule="auto"/>
        <w:rPr>
          <w:rFonts w:ascii="Century Gothic" w:hAnsi="Century Gothic"/>
          <w:b/>
          <w:bCs/>
          <w:sz w:val="18"/>
          <w:szCs w:val="18"/>
        </w:rPr>
      </w:pPr>
      <w:r w:rsidRPr="000A59C4">
        <w:rPr>
          <w:rFonts w:ascii="Century Gothic" w:hAnsi="Century Gothic"/>
          <w:b/>
          <w:bCs/>
          <w:sz w:val="18"/>
          <w:szCs w:val="18"/>
        </w:rPr>
        <w:t>'Wigs, Headpieces, Makeup: Stepping out of Ethnicity, Going Beyond Human in Ballet' (Linda Kvitkina, University of Oxford)</w:t>
      </w:r>
    </w:p>
    <w:p w14:paraId="58750F66" w14:textId="2F93BD15" w:rsidR="00C70EBF" w:rsidRDefault="007763D7" w:rsidP="00AF774A">
      <w:pPr>
        <w:spacing w:after="240" w:line="360" w:lineRule="auto"/>
        <w:rPr>
          <w:rFonts w:ascii="Century Gothic" w:hAnsi="Century Gothic"/>
          <w:sz w:val="18"/>
          <w:szCs w:val="18"/>
        </w:rPr>
      </w:pPr>
      <w:r w:rsidRPr="007763D7">
        <w:rPr>
          <w:rFonts w:ascii="Century Gothic" w:hAnsi="Century Gothic"/>
          <w:sz w:val="18"/>
          <w:szCs w:val="18"/>
        </w:rPr>
        <w:t>The backstage of the State Academic Opera and Ballet Theatre in Kazakhstan is a space in-between, where a ballet practitioner becomes a performer with the help of several devices, one</w:t>
      </w:r>
      <w:r>
        <w:rPr>
          <w:rFonts w:ascii="Century Gothic" w:hAnsi="Century Gothic"/>
          <w:sz w:val="18"/>
          <w:szCs w:val="18"/>
        </w:rPr>
        <w:t xml:space="preserve"> </w:t>
      </w:r>
      <w:r w:rsidRPr="007763D7">
        <w:rPr>
          <w:rFonts w:ascii="Century Gothic" w:hAnsi="Century Gothic"/>
          <w:sz w:val="18"/>
          <w:szCs w:val="18"/>
        </w:rPr>
        <w:t>of them is costume, the other is hair and makeup. For many ballets produced in the Soviet</w:t>
      </w:r>
      <w:r>
        <w:rPr>
          <w:rFonts w:ascii="Century Gothic" w:hAnsi="Century Gothic"/>
          <w:sz w:val="18"/>
          <w:szCs w:val="18"/>
        </w:rPr>
        <w:t xml:space="preserve"> </w:t>
      </w:r>
      <w:r w:rsidRPr="007763D7">
        <w:rPr>
          <w:rFonts w:ascii="Century Gothic" w:hAnsi="Century Gothic"/>
          <w:sz w:val="18"/>
          <w:szCs w:val="18"/>
        </w:rPr>
        <w:t>Union, ethnic identity (and the recognition of such by viewers) was fundamental to the plot,</w:t>
      </w:r>
      <w:r>
        <w:rPr>
          <w:rFonts w:ascii="Century Gothic" w:hAnsi="Century Gothic"/>
          <w:sz w:val="18"/>
          <w:szCs w:val="18"/>
        </w:rPr>
        <w:t xml:space="preserve"> </w:t>
      </w:r>
      <w:r w:rsidRPr="007763D7">
        <w:rPr>
          <w:rFonts w:ascii="Century Gothic" w:hAnsi="Century Gothic"/>
          <w:sz w:val="18"/>
          <w:szCs w:val="18"/>
        </w:rPr>
        <w:t>and many ballets offered non-human characters, which meant the dancers had to adjust their</w:t>
      </w:r>
      <w:r>
        <w:rPr>
          <w:rFonts w:ascii="Century Gothic" w:hAnsi="Century Gothic"/>
          <w:sz w:val="18"/>
          <w:szCs w:val="18"/>
        </w:rPr>
        <w:t xml:space="preserve"> </w:t>
      </w:r>
      <w:r w:rsidRPr="007763D7">
        <w:rPr>
          <w:rFonts w:ascii="Century Gothic" w:hAnsi="Century Gothic"/>
          <w:sz w:val="18"/>
          <w:szCs w:val="18"/>
        </w:rPr>
        <w:t>movement, making it recognizably animalistic yet remaining within the boundaries of ballet,</w:t>
      </w:r>
      <w:r>
        <w:rPr>
          <w:rFonts w:ascii="Century Gothic" w:hAnsi="Century Gothic"/>
          <w:sz w:val="18"/>
          <w:szCs w:val="18"/>
        </w:rPr>
        <w:t xml:space="preserve"> </w:t>
      </w:r>
      <w:r w:rsidRPr="007763D7">
        <w:rPr>
          <w:rFonts w:ascii="Century Gothic" w:hAnsi="Century Gothic"/>
          <w:sz w:val="18"/>
          <w:szCs w:val="18"/>
        </w:rPr>
        <w:t>and change their human features. In this paper, I seek to answer the question of how hair and</w:t>
      </w:r>
      <w:r>
        <w:rPr>
          <w:rFonts w:ascii="Century Gothic" w:hAnsi="Century Gothic"/>
          <w:sz w:val="18"/>
          <w:szCs w:val="18"/>
        </w:rPr>
        <w:t xml:space="preserve"> </w:t>
      </w:r>
      <w:r w:rsidRPr="007763D7">
        <w:rPr>
          <w:rFonts w:ascii="Century Gothic" w:hAnsi="Century Gothic"/>
          <w:sz w:val="18"/>
          <w:szCs w:val="18"/>
        </w:rPr>
        <w:t>makeup assisted the transformation of a ballet practitioner into a performer, and, more</w:t>
      </w:r>
      <w:r>
        <w:rPr>
          <w:rFonts w:ascii="Century Gothic" w:hAnsi="Century Gothic"/>
          <w:sz w:val="18"/>
          <w:szCs w:val="18"/>
        </w:rPr>
        <w:t xml:space="preserve"> </w:t>
      </w:r>
      <w:r w:rsidRPr="007763D7">
        <w:rPr>
          <w:rFonts w:ascii="Century Gothic" w:hAnsi="Century Gothic"/>
          <w:sz w:val="18"/>
          <w:szCs w:val="18"/>
        </w:rPr>
        <w:t>importantly, how the temporary transformation of appearance helped dancers embody a</w:t>
      </w:r>
      <w:r>
        <w:rPr>
          <w:rFonts w:ascii="Century Gothic" w:hAnsi="Century Gothic"/>
          <w:sz w:val="18"/>
          <w:szCs w:val="18"/>
        </w:rPr>
        <w:t xml:space="preserve"> </w:t>
      </w:r>
      <w:r w:rsidRPr="007763D7">
        <w:rPr>
          <w:rFonts w:ascii="Century Gothic" w:hAnsi="Century Gothic"/>
          <w:sz w:val="18"/>
          <w:szCs w:val="18"/>
        </w:rPr>
        <w:t>different ethnic identity, or go beyond the human. Through the archival documents from as</w:t>
      </w:r>
      <w:r>
        <w:rPr>
          <w:rFonts w:ascii="Century Gothic" w:hAnsi="Century Gothic"/>
          <w:sz w:val="18"/>
          <w:szCs w:val="18"/>
        </w:rPr>
        <w:t xml:space="preserve"> </w:t>
      </w:r>
      <w:r w:rsidRPr="007763D7">
        <w:rPr>
          <w:rFonts w:ascii="Century Gothic" w:hAnsi="Century Gothic"/>
          <w:sz w:val="18"/>
          <w:szCs w:val="18"/>
        </w:rPr>
        <w:t>early as 1934, I will trace how the hair department mirrored conceptions of race and ethnicity</w:t>
      </w:r>
      <w:r>
        <w:rPr>
          <w:rFonts w:ascii="Century Gothic" w:hAnsi="Century Gothic"/>
          <w:sz w:val="18"/>
          <w:szCs w:val="18"/>
        </w:rPr>
        <w:t xml:space="preserve"> </w:t>
      </w:r>
      <w:r w:rsidRPr="007763D7">
        <w:rPr>
          <w:rFonts w:ascii="Century Gothic" w:hAnsi="Century Gothic"/>
          <w:sz w:val="18"/>
          <w:szCs w:val="18"/>
        </w:rPr>
        <w:t>in the Soviet Union, and how dancers engaged with makeup – applying it and taking it off, as</w:t>
      </w:r>
      <w:r>
        <w:rPr>
          <w:rFonts w:ascii="Century Gothic" w:hAnsi="Century Gothic"/>
          <w:sz w:val="18"/>
          <w:szCs w:val="18"/>
        </w:rPr>
        <w:t xml:space="preserve"> </w:t>
      </w:r>
      <w:r w:rsidRPr="007763D7">
        <w:rPr>
          <w:rFonts w:ascii="Century Gothic" w:hAnsi="Century Gothic"/>
          <w:sz w:val="18"/>
          <w:szCs w:val="18"/>
        </w:rPr>
        <w:t>well as going on stage barefaced, and why it was deemed unacceptable by the Theatre</w:t>
      </w:r>
      <w:r>
        <w:rPr>
          <w:rFonts w:ascii="Century Gothic" w:hAnsi="Century Gothic"/>
          <w:sz w:val="18"/>
          <w:szCs w:val="18"/>
        </w:rPr>
        <w:t xml:space="preserve"> </w:t>
      </w:r>
      <w:r w:rsidRPr="007763D7">
        <w:rPr>
          <w:rFonts w:ascii="Century Gothic" w:hAnsi="Century Gothic"/>
          <w:sz w:val="18"/>
          <w:szCs w:val="18"/>
        </w:rPr>
        <w:t>administration.</w:t>
      </w:r>
    </w:p>
    <w:p w14:paraId="3C6ED6D9" w14:textId="1DDC9F43" w:rsidR="00C70EBF" w:rsidRPr="000A59C4" w:rsidRDefault="00C70EBF" w:rsidP="00AF774A">
      <w:pPr>
        <w:spacing w:after="240" w:line="360" w:lineRule="auto"/>
        <w:rPr>
          <w:rFonts w:ascii="Century Gothic" w:hAnsi="Century Gothic"/>
          <w:b/>
          <w:bCs/>
          <w:sz w:val="18"/>
          <w:szCs w:val="18"/>
        </w:rPr>
      </w:pPr>
      <w:r w:rsidRPr="000A59C4">
        <w:rPr>
          <w:rFonts w:ascii="Century Gothic" w:hAnsi="Century Gothic"/>
          <w:b/>
          <w:bCs/>
          <w:sz w:val="18"/>
          <w:szCs w:val="18"/>
        </w:rPr>
        <w:t>'Barbara T. Smith’s</w:t>
      </w:r>
      <w:r w:rsidRPr="000A59C4">
        <w:rPr>
          <w:rFonts w:ascii="Century Gothic" w:hAnsi="Century Gothic"/>
          <w:b/>
          <w:bCs/>
          <w:i/>
          <w:iCs/>
          <w:sz w:val="18"/>
          <w:szCs w:val="18"/>
        </w:rPr>
        <w:t xml:space="preserve"> I Am Abandoned </w:t>
      </w:r>
      <w:r w:rsidRPr="000A59C4">
        <w:rPr>
          <w:rFonts w:ascii="Century Gothic" w:hAnsi="Century Gothic"/>
          <w:b/>
          <w:bCs/>
          <w:sz w:val="18"/>
          <w:szCs w:val="18"/>
        </w:rPr>
        <w:t>(1976): Embodiment in the Imbrication of Art and Artificial Intelligence'' (Anna Mayer, The Courtauld)</w:t>
      </w:r>
    </w:p>
    <w:p w14:paraId="0493086B" w14:textId="77777777" w:rsidR="007763D7" w:rsidRDefault="007763D7" w:rsidP="007763D7">
      <w:pPr>
        <w:spacing w:after="240" w:line="360" w:lineRule="auto"/>
        <w:rPr>
          <w:rFonts w:ascii="Century Gothic" w:hAnsi="Century Gothic"/>
          <w:sz w:val="18"/>
          <w:szCs w:val="18"/>
        </w:rPr>
      </w:pPr>
      <w:r w:rsidRPr="007763D7">
        <w:rPr>
          <w:rFonts w:ascii="Century Gothic" w:hAnsi="Century Gothic"/>
          <w:sz w:val="18"/>
          <w:szCs w:val="18"/>
        </w:rPr>
        <w:t xml:space="preserve">This paper centres on the feminist performance artist Barbara T. Smith’s pioneering and prescient </w:t>
      </w:r>
      <w:r w:rsidRPr="007763D7">
        <w:rPr>
          <w:rFonts w:ascii="Century Gothic" w:hAnsi="Century Gothic"/>
          <w:i/>
          <w:iCs/>
          <w:sz w:val="18"/>
          <w:szCs w:val="18"/>
        </w:rPr>
        <w:t>I Am Abandoned</w:t>
      </w:r>
      <w:r>
        <w:rPr>
          <w:rFonts w:ascii="Century Gothic" w:hAnsi="Century Gothic"/>
          <w:sz w:val="18"/>
          <w:szCs w:val="18"/>
        </w:rPr>
        <w:t xml:space="preserve"> </w:t>
      </w:r>
      <w:r w:rsidRPr="007763D7">
        <w:rPr>
          <w:rFonts w:ascii="Century Gothic" w:hAnsi="Century Gothic"/>
          <w:sz w:val="18"/>
          <w:szCs w:val="18"/>
        </w:rPr>
        <w:t>(1976): the first performance to utilise early artificial intelligence. The work set a conversation between two chatbots</w:t>
      </w:r>
      <w:r>
        <w:rPr>
          <w:rFonts w:ascii="Century Gothic" w:hAnsi="Century Gothic"/>
          <w:sz w:val="18"/>
          <w:szCs w:val="18"/>
        </w:rPr>
        <w:t xml:space="preserve"> </w:t>
      </w:r>
      <w:r w:rsidRPr="007763D7">
        <w:rPr>
          <w:rFonts w:ascii="Century Gothic" w:hAnsi="Century Gothic"/>
          <w:sz w:val="18"/>
          <w:szCs w:val="18"/>
        </w:rPr>
        <w:t xml:space="preserve">against a projection of Francisco Goya’s </w:t>
      </w:r>
      <w:r w:rsidRPr="007763D7">
        <w:rPr>
          <w:rFonts w:ascii="Century Gothic" w:hAnsi="Century Gothic"/>
          <w:i/>
          <w:iCs/>
          <w:sz w:val="18"/>
          <w:szCs w:val="18"/>
        </w:rPr>
        <w:t>The Naked Maja</w:t>
      </w:r>
      <w:r w:rsidRPr="007763D7">
        <w:rPr>
          <w:rFonts w:ascii="Century Gothic" w:hAnsi="Century Gothic"/>
          <w:sz w:val="18"/>
          <w:szCs w:val="18"/>
        </w:rPr>
        <w:t xml:space="preserve"> (1795-1800) over the reclining body of a female model.</w:t>
      </w:r>
      <w:r>
        <w:rPr>
          <w:rFonts w:ascii="Century Gothic" w:hAnsi="Century Gothic"/>
          <w:sz w:val="18"/>
          <w:szCs w:val="18"/>
        </w:rPr>
        <w:t xml:space="preserve"> </w:t>
      </w:r>
      <w:r w:rsidRPr="007763D7">
        <w:rPr>
          <w:rFonts w:ascii="Century Gothic" w:hAnsi="Century Gothic"/>
          <w:sz w:val="18"/>
          <w:szCs w:val="18"/>
        </w:rPr>
        <w:t xml:space="preserve">Through this literal and conceptual confrontation, </w:t>
      </w:r>
      <w:r w:rsidRPr="007763D7">
        <w:rPr>
          <w:rFonts w:ascii="Century Gothic" w:hAnsi="Century Gothic"/>
          <w:i/>
          <w:iCs/>
          <w:sz w:val="18"/>
          <w:szCs w:val="18"/>
        </w:rPr>
        <w:t xml:space="preserve">I Am Abandoned </w:t>
      </w:r>
      <w:r w:rsidRPr="007763D7">
        <w:rPr>
          <w:rFonts w:ascii="Century Gothic" w:hAnsi="Century Gothic"/>
          <w:sz w:val="18"/>
          <w:szCs w:val="18"/>
        </w:rPr>
        <w:t>staged human embodiment as an interference to</w:t>
      </w:r>
      <w:r>
        <w:rPr>
          <w:rFonts w:ascii="Century Gothic" w:hAnsi="Century Gothic"/>
          <w:sz w:val="18"/>
          <w:szCs w:val="18"/>
        </w:rPr>
        <w:t xml:space="preserve"> </w:t>
      </w:r>
      <w:r w:rsidRPr="007763D7">
        <w:rPr>
          <w:rFonts w:ascii="Century Gothic" w:hAnsi="Century Gothic"/>
          <w:sz w:val="18"/>
          <w:szCs w:val="18"/>
        </w:rPr>
        <w:t>artificial intelligence.</w:t>
      </w:r>
      <w:r>
        <w:rPr>
          <w:rFonts w:ascii="Century Gothic" w:hAnsi="Century Gothic"/>
          <w:sz w:val="18"/>
          <w:szCs w:val="18"/>
        </w:rPr>
        <w:t xml:space="preserve"> </w:t>
      </w:r>
    </w:p>
    <w:p w14:paraId="49ED0302" w14:textId="4D108456" w:rsidR="00C70EBF" w:rsidRDefault="007763D7" w:rsidP="00AF774A">
      <w:pPr>
        <w:spacing w:after="240" w:line="360" w:lineRule="auto"/>
        <w:rPr>
          <w:rFonts w:ascii="Century Gothic" w:hAnsi="Century Gothic"/>
          <w:sz w:val="18"/>
          <w:szCs w:val="18"/>
        </w:rPr>
      </w:pPr>
      <w:r w:rsidRPr="007763D7">
        <w:rPr>
          <w:rFonts w:ascii="Century Gothic" w:hAnsi="Century Gothic"/>
          <w:sz w:val="18"/>
          <w:szCs w:val="18"/>
        </w:rPr>
        <w:t xml:space="preserve">In the fiftieth anniversary year of </w:t>
      </w:r>
      <w:r w:rsidRPr="007763D7">
        <w:rPr>
          <w:rFonts w:ascii="Century Gothic" w:hAnsi="Century Gothic"/>
          <w:i/>
          <w:iCs/>
          <w:sz w:val="18"/>
          <w:szCs w:val="18"/>
        </w:rPr>
        <w:t xml:space="preserve">I Am Abandoned, </w:t>
      </w:r>
      <w:r w:rsidRPr="007763D7">
        <w:rPr>
          <w:rFonts w:ascii="Century Gothic" w:hAnsi="Century Gothic"/>
          <w:sz w:val="18"/>
          <w:szCs w:val="18"/>
        </w:rPr>
        <w:t>this paper explores how the performance employed the body to draw</w:t>
      </w:r>
      <w:r>
        <w:rPr>
          <w:rFonts w:ascii="Century Gothic" w:hAnsi="Century Gothic"/>
          <w:sz w:val="18"/>
          <w:szCs w:val="18"/>
        </w:rPr>
        <w:t xml:space="preserve"> </w:t>
      </w:r>
      <w:r w:rsidRPr="007763D7">
        <w:rPr>
          <w:rFonts w:ascii="Century Gothic" w:hAnsi="Century Gothic"/>
          <w:sz w:val="18"/>
          <w:szCs w:val="18"/>
        </w:rPr>
        <w:t>attention to artificial intelligence’s embodied, affective, and ethical stakes. In this sense, by prompting us to think about</w:t>
      </w:r>
      <w:r>
        <w:rPr>
          <w:rFonts w:ascii="Century Gothic" w:hAnsi="Century Gothic"/>
          <w:sz w:val="18"/>
          <w:szCs w:val="18"/>
        </w:rPr>
        <w:t xml:space="preserve"> </w:t>
      </w:r>
      <w:r w:rsidRPr="007763D7">
        <w:rPr>
          <w:rFonts w:ascii="Century Gothic" w:hAnsi="Century Gothic"/>
          <w:sz w:val="18"/>
          <w:szCs w:val="18"/>
        </w:rPr>
        <w:t>the ways that bodies figure in supposedly disembodied systems, the performance foregrounded how networks of machinic</w:t>
      </w:r>
      <w:r>
        <w:rPr>
          <w:rFonts w:ascii="Century Gothic" w:hAnsi="Century Gothic"/>
          <w:sz w:val="18"/>
          <w:szCs w:val="18"/>
        </w:rPr>
        <w:t xml:space="preserve"> </w:t>
      </w:r>
      <w:r w:rsidRPr="007763D7">
        <w:rPr>
          <w:rFonts w:ascii="Century Gothic" w:hAnsi="Century Gothic"/>
          <w:sz w:val="18"/>
          <w:szCs w:val="18"/>
        </w:rPr>
        <w:t>cognition are distributed along embodied and therefore gendered, classed, and raced lines. Finally, this paper explores how</w:t>
      </w:r>
      <w:r>
        <w:rPr>
          <w:rFonts w:ascii="Century Gothic" w:hAnsi="Century Gothic"/>
          <w:sz w:val="18"/>
          <w:szCs w:val="18"/>
        </w:rPr>
        <w:t xml:space="preserve"> </w:t>
      </w:r>
      <w:r w:rsidRPr="007763D7">
        <w:rPr>
          <w:rFonts w:ascii="Century Gothic" w:hAnsi="Century Gothic"/>
          <w:i/>
          <w:iCs/>
          <w:sz w:val="18"/>
          <w:szCs w:val="18"/>
        </w:rPr>
        <w:t xml:space="preserve">I Am Abandoned </w:t>
      </w:r>
      <w:r w:rsidRPr="007763D7">
        <w:rPr>
          <w:rFonts w:ascii="Century Gothic" w:hAnsi="Century Gothic"/>
          <w:sz w:val="18"/>
          <w:szCs w:val="18"/>
        </w:rPr>
        <w:t>used this confrontation between embodiment and artificial intelligence to anticipate contemporary</w:t>
      </w:r>
      <w:r>
        <w:rPr>
          <w:rFonts w:ascii="Century Gothic" w:hAnsi="Century Gothic"/>
          <w:sz w:val="18"/>
          <w:szCs w:val="18"/>
        </w:rPr>
        <w:t xml:space="preserve"> </w:t>
      </w:r>
      <w:r w:rsidRPr="007763D7">
        <w:rPr>
          <w:rFonts w:ascii="Century Gothic" w:hAnsi="Century Gothic"/>
          <w:sz w:val="18"/>
          <w:szCs w:val="18"/>
        </w:rPr>
        <w:t>critiques concerning the ways that labour underpins the ongoing development and maintenance of artificial intelligence,</w:t>
      </w:r>
      <w:r>
        <w:rPr>
          <w:rFonts w:ascii="Century Gothic" w:hAnsi="Century Gothic"/>
          <w:sz w:val="18"/>
          <w:szCs w:val="18"/>
        </w:rPr>
        <w:t xml:space="preserve"> </w:t>
      </w:r>
      <w:r w:rsidRPr="007763D7">
        <w:rPr>
          <w:rFonts w:ascii="Century Gothic" w:hAnsi="Century Gothic"/>
          <w:sz w:val="18"/>
          <w:szCs w:val="18"/>
        </w:rPr>
        <w:t>and how the global distribution of this labour reflects and reinforces existing inequalities.</w:t>
      </w:r>
    </w:p>
    <w:p w14:paraId="28E078AE" w14:textId="24993A6C" w:rsidR="00C70EBF" w:rsidRPr="006C7B19" w:rsidRDefault="00C70EBF" w:rsidP="00AF774A">
      <w:pPr>
        <w:spacing w:after="240" w:line="360" w:lineRule="auto"/>
        <w:rPr>
          <w:rFonts w:ascii="Century Gothic" w:hAnsi="Century Gothic"/>
          <w:b/>
          <w:bCs/>
          <w:sz w:val="18"/>
          <w:szCs w:val="18"/>
        </w:rPr>
      </w:pPr>
      <w:r w:rsidRPr="006C7B19">
        <w:rPr>
          <w:rFonts w:ascii="Century Gothic" w:hAnsi="Century Gothic"/>
          <w:b/>
          <w:bCs/>
          <w:sz w:val="18"/>
          <w:szCs w:val="18"/>
        </w:rPr>
        <w:lastRenderedPageBreak/>
        <w:t>'Body Art Between Action and Performance: Reconsidering Embodiment at Moltkerei Werkstatt' (Anja Segmuller, University of Oxford)</w:t>
      </w:r>
    </w:p>
    <w:p w14:paraId="6546427A" w14:textId="77777777" w:rsidR="006C7B19" w:rsidRPr="006C7B19" w:rsidRDefault="006C7B19" w:rsidP="006C7B19">
      <w:pPr>
        <w:spacing w:after="240" w:line="360" w:lineRule="auto"/>
        <w:rPr>
          <w:rFonts w:ascii="Century Gothic" w:hAnsi="Century Gothic"/>
          <w:sz w:val="18"/>
          <w:szCs w:val="18"/>
        </w:rPr>
      </w:pPr>
      <w:r w:rsidRPr="006C7B19">
        <w:rPr>
          <w:rFonts w:ascii="Century Gothic" w:hAnsi="Century Gothic"/>
          <w:sz w:val="18"/>
          <w:szCs w:val="18"/>
        </w:rPr>
        <w:t>Body art emerged in the late 1960s and 1970s as a radical artistic practice that placed the artist’s body at the centre of aesthetic experimentation. Closely related to traditions of action art and performance art, these practices challenged conventional distinctions between artwork, artist, and audience while foregrounding the body as both medium and site of political and social inscription. Early body art is frequently associated with figures such as Joseph Beuys and the Viennese Actionists, whose provocative performances emphasised the body’s vulnerability, endurance, and symbolic power.</w:t>
      </w:r>
    </w:p>
    <w:p w14:paraId="53711FD4" w14:textId="77777777" w:rsidR="006C7B19" w:rsidRPr="006C7B19" w:rsidRDefault="006C7B19" w:rsidP="006C7B19">
      <w:pPr>
        <w:spacing w:after="240" w:line="360" w:lineRule="auto"/>
        <w:rPr>
          <w:rFonts w:ascii="Century Gothic" w:hAnsi="Century Gothic"/>
          <w:sz w:val="18"/>
          <w:szCs w:val="18"/>
        </w:rPr>
      </w:pPr>
      <w:r w:rsidRPr="006C7B19">
        <w:rPr>
          <w:rFonts w:ascii="Century Gothic" w:hAnsi="Century Gothic"/>
          <w:sz w:val="18"/>
          <w:szCs w:val="18"/>
        </w:rPr>
        <w:t>This paper examines the development of body art through a socio-cultural history of the alternative art space Moltkerei Werkstatt in Cologne, a key venue for experimental live art during the 1970s, 1980s, and 1990s. Drawing on previously unexplored archival sources, it traces how artists including Ulrike Rosenbach, Marina Abramović and Ulay, Tomas Ruller, as well as the East German collective Autoperforationsartisten, used the space to stage performances that reconfigured the body as a site of experimentation, gender politics, and transnational artistic exchange.</w:t>
      </w:r>
    </w:p>
    <w:p w14:paraId="04ACE754" w14:textId="4BCC1509" w:rsidR="00C70EBF" w:rsidRDefault="006C7B19" w:rsidP="00AF774A">
      <w:pPr>
        <w:spacing w:after="240" w:line="360" w:lineRule="auto"/>
        <w:rPr>
          <w:rFonts w:ascii="Century Gothic" w:hAnsi="Century Gothic"/>
          <w:sz w:val="18"/>
          <w:szCs w:val="18"/>
        </w:rPr>
      </w:pPr>
      <w:r w:rsidRPr="006C7B19">
        <w:rPr>
          <w:rFonts w:ascii="Century Gothic" w:hAnsi="Century Gothic"/>
          <w:sz w:val="18"/>
          <w:szCs w:val="18"/>
        </w:rPr>
        <w:t>By reconstructing the performance programme of Moltkerei Werkstatt, the paper argues that alternative art spaces played a crucial role in shaping the development of body art beyond the canonical narratives centred on individual artists or national movements. Examining the embodied encounters between performers and audiences within this institutional setting offers new insight into how body art circulated, evolved, and acquired meaning in late twentieth-century Europe.</w:t>
      </w:r>
    </w:p>
    <w:p w14:paraId="632777C0" w14:textId="77777777" w:rsidR="007763D7" w:rsidRDefault="007763D7" w:rsidP="00AF774A">
      <w:pPr>
        <w:spacing w:after="240" w:line="360" w:lineRule="auto"/>
        <w:rPr>
          <w:rFonts w:ascii="Century Gothic" w:hAnsi="Century Gothic"/>
          <w:sz w:val="18"/>
          <w:szCs w:val="18"/>
        </w:rPr>
      </w:pPr>
    </w:p>
    <w:p w14:paraId="723197F3" w14:textId="77777777" w:rsidR="00C70EBF" w:rsidRPr="00C70EBF" w:rsidRDefault="00C70EBF" w:rsidP="00AF774A">
      <w:pPr>
        <w:spacing w:after="240" w:line="360" w:lineRule="auto"/>
        <w:jc w:val="center"/>
        <w:rPr>
          <w:rFonts w:ascii="Century Gothic" w:hAnsi="Century Gothic"/>
          <w:b/>
          <w:bCs/>
          <w:i/>
          <w:iCs/>
          <w:sz w:val="18"/>
          <w:szCs w:val="18"/>
        </w:rPr>
      </w:pPr>
      <w:r w:rsidRPr="00C70EBF">
        <w:rPr>
          <w:rFonts w:ascii="Century Gothic" w:hAnsi="Century Gothic"/>
          <w:b/>
          <w:bCs/>
          <w:i/>
          <w:iCs/>
          <w:sz w:val="18"/>
          <w:szCs w:val="18"/>
        </w:rPr>
        <w:t>Panel 3: Representing the Body</w:t>
      </w:r>
    </w:p>
    <w:p w14:paraId="6631F98F" w14:textId="335FAE39" w:rsidR="00C70EBF" w:rsidRPr="007763D7" w:rsidRDefault="00C70EBF" w:rsidP="00AF774A">
      <w:pPr>
        <w:spacing w:after="240" w:line="360" w:lineRule="auto"/>
        <w:rPr>
          <w:rFonts w:ascii="Century Gothic" w:hAnsi="Century Gothic"/>
          <w:b/>
          <w:bCs/>
          <w:sz w:val="18"/>
          <w:szCs w:val="18"/>
        </w:rPr>
      </w:pPr>
      <w:r w:rsidRPr="007763D7">
        <w:rPr>
          <w:rFonts w:ascii="Century Gothic" w:hAnsi="Century Gothic"/>
          <w:b/>
          <w:bCs/>
          <w:sz w:val="18"/>
          <w:szCs w:val="18"/>
        </w:rPr>
        <w:t>'“Paris as a Gateway to Africa”: Négritude, Afro-Diasporic Communities Abroad, and Loïs Mailou Jones’s Modern Black Portraiture' (Devon Rosenberger, University of Oxford)</w:t>
      </w:r>
    </w:p>
    <w:p w14:paraId="6ADEB852" w14:textId="6240C121" w:rsidR="00C70EBF" w:rsidRDefault="007763D7" w:rsidP="00AF774A">
      <w:pPr>
        <w:spacing w:after="240" w:line="360" w:lineRule="auto"/>
        <w:rPr>
          <w:rFonts w:ascii="Century Gothic" w:hAnsi="Century Gothic"/>
          <w:sz w:val="18"/>
          <w:szCs w:val="18"/>
        </w:rPr>
      </w:pPr>
      <w:r w:rsidRPr="007763D7">
        <w:rPr>
          <w:rFonts w:ascii="Century Gothic" w:hAnsi="Century Gothic"/>
          <w:sz w:val="18"/>
          <w:szCs w:val="18"/>
        </w:rPr>
        <w:t>In October 1937, a young Loïs Mailou Jones arrived in Paris to undertake a year of artistic study while on sabbatical from her position as a professor of art at Howard University in Washington, DC. Jones arrived in Paris at the rise of Négritude, a literary, cultural, and intellectual movement rooted in developing a global ‘Black Consciousness’ in an effort to promote Africa and its diaspora. In this paper, I consider Jones’s interaction with Africa and its diaspora through her movements in Paris, arguing that the rise of new anti-colonial and anti-racist philosophies influenced her engagement with French artistic traditions. In her portraits of Afro-diasporic peoples in Paris, Jones played with the notion of hybridity as she herself continued to explore her own personal diasporic identity. In these modern portraits of Black sitters, she departed from traditional depictions of Black subjects circulated in France. Rather than employing ethnographic, Orientalist, or phrenological visual tropes meant to assert difference between the Black subject and white viewer, Jones presented viewers with an image of the modern Afro-diasporic subject, taking part in the global effort to reframeBlackness in a positive light.</w:t>
      </w:r>
    </w:p>
    <w:p w14:paraId="739A1DC7" w14:textId="51FD69E2" w:rsidR="00C70EBF" w:rsidRPr="007763D7" w:rsidRDefault="00C70EBF" w:rsidP="00AF774A">
      <w:pPr>
        <w:spacing w:after="240" w:line="360" w:lineRule="auto"/>
        <w:rPr>
          <w:rFonts w:ascii="Century Gothic" w:hAnsi="Century Gothic"/>
          <w:b/>
          <w:bCs/>
          <w:sz w:val="18"/>
          <w:szCs w:val="18"/>
        </w:rPr>
      </w:pPr>
      <w:r w:rsidRPr="007763D7">
        <w:rPr>
          <w:rFonts w:ascii="Century Gothic" w:hAnsi="Century Gothic"/>
          <w:b/>
          <w:bCs/>
          <w:sz w:val="18"/>
          <w:szCs w:val="18"/>
        </w:rPr>
        <w:t>'New Bodies, New Culture: Bodily Integration, Revolutionary Will, and the Politics of the Somatic in Maoist Propaganda Posters' (Qiyi Huang, New School for Social Research)</w:t>
      </w:r>
    </w:p>
    <w:p w14:paraId="19F9C104" w14:textId="3320D629" w:rsidR="007763D7" w:rsidRPr="007763D7" w:rsidRDefault="007763D7" w:rsidP="007763D7">
      <w:pPr>
        <w:spacing w:after="240" w:line="360" w:lineRule="auto"/>
        <w:rPr>
          <w:rFonts w:ascii="Century Gothic" w:hAnsi="Century Gothic"/>
          <w:sz w:val="18"/>
          <w:szCs w:val="18"/>
        </w:rPr>
      </w:pPr>
      <w:r w:rsidRPr="007763D7">
        <w:rPr>
          <w:rFonts w:ascii="Century Gothic" w:hAnsi="Century Gothic"/>
          <w:sz w:val="18"/>
          <w:szCs w:val="18"/>
        </w:rPr>
        <w:t>What does a revolutionary body look like? Maoist propaganda posters of the People's Republic</w:t>
      </w:r>
      <w:r>
        <w:rPr>
          <w:rFonts w:ascii="Century Gothic" w:hAnsi="Century Gothic"/>
          <w:sz w:val="18"/>
          <w:szCs w:val="18"/>
        </w:rPr>
        <w:t xml:space="preserve"> </w:t>
      </w:r>
      <w:r w:rsidRPr="007763D7">
        <w:rPr>
          <w:rFonts w:ascii="Century Gothic" w:hAnsi="Century Gothic"/>
          <w:sz w:val="18"/>
          <w:szCs w:val="18"/>
        </w:rPr>
        <w:t>offer a distinctive answer — one that pushes beyond the socialist aesthetic tradition toward a</w:t>
      </w:r>
      <w:r>
        <w:rPr>
          <w:rFonts w:ascii="Century Gothic" w:hAnsi="Century Gothic"/>
          <w:sz w:val="18"/>
          <w:szCs w:val="18"/>
        </w:rPr>
        <w:t xml:space="preserve"> </w:t>
      </w:r>
      <w:r w:rsidRPr="007763D7">
        <w:rPr>
          <w:rFonts w:ascii="Century Gothic" w:hAnsi="Century Gothic"/>
          <w:sz w:val="18"/>
          <w:szCs w:val="18"/>
        </w:rPr>
        <w:t xml:space="preserve">more radical experiment: not the </w:t>
      </w:r>
      <w:r w:rsidRPr="007763D7">
        <w:rPr>
          <w:rFonts w:ascii="Century Gothic" w:hAnsi="Century Gothic"/>
          <w:sz w:val="18"/>
          <w:szCs w:val="18"/>
        </w:rPr>
        <w:lastRenderedPageBreak/>
        <w:t>aestheticization of politics, wherein the body becomes a mere</w:t>
      </w:r>
      <w:r>
        <w:rPr>
          <w:rFonts w:ascii="Century Gothic" w:hAnsi="Century Gothic"/>
          <w:sz w:val="18"/>
          <w:szCs w:val="18"/>
        </w:rPr>
        <w:t xml:space="preserve"> </w:t>
      </w:r>
      <w:r w:rsidRPr="007763D7">
        <w:rPr>
          <w:rFonts w:ascii="Century Gothic" w:hAnsi="Century Gothic"/>
          <w:sz w:val="18"/>
          <w:szCs w:val="18"/>
        </w:rPr>
        <w:t>spectacle engineered to dissolve mobilisation into aesthetic gratification, but something closer</w:t>
      </w:r>
      <w:r>
        <w:rPr>
          <w:rFonts w:ascii="Century Gothic" w:hAnsi="Century Gothic"/>
          <w:sz w:val="18"/>
          <w:szCs w:val="18"/>
        </w:rPr>
        <w:t xml:space="preserve"> </w:t>
      </w:r>
      <w:r w:rsidRPr="007763D7">
        <w:rPr>
          <w:rFonts w:ascii="Century Gothic" w:hAnsi="Century Gothic"/>
          <w:sz w:val="18"/>
          <w:szCs w:val="18"/>
        </w:rPr>
        <w:t>to what Walter Benjamin called the politicization of art.</w:t>
      </w:r>
    </w:p>
    <w:p w14:paraId="6E03143D" w14:textId="774711EE" w:rsidR="007763D7" w:rsidRPr="007763D7" w:rsidRDefault="007763D7" w:rsidP="007763D7">
      <w:pPr>
        <w:spacing w:after="240" w:line="360" w:lineRule="auto"/>
        <w:rPr>
          <w:rFonts w:ascii="Century Gothic" w:hAnsi="Century Gothic"/>
          <w:sz w:val="18"/>
          <w:szCs w:val="18"/>
        </w:rPr>
      </w:pPr>
      <w:r w:rsidRPr="007763D7">
        <w:rPr>
          <w:rFonts w:ascii="Century Gothic" w:hAnsi="Century Gothic"/>
          <w:sz w:val="18"/>
          <w:szCs w:val="18"/>
        </w:rPr>
        <w:t>Rather than a static object of contemplation, the body in Maoist visual culture is always a body-in-situation: labouring, moving, acting. It carries not only physical force but willpower and</w:t>
      </w:r>
      <w:r>
        <w:rPr>
          <w:rFonts w:ascii="Century Gothic" w:hAnsi="Century Gothic"/>
          <w:sz w:val="18"/>
          <w:szCs w:val="18"/>
        </w:rPr>
        <w:t xml:space="preserve"> </w:t>
      </w:r>
      <w:r w:rsidRPr="007763D7">
        <w:rPr>
          <w:rFonts w:ascii="Century Gothic" w:hAnsi="Century Gothic"/>
          <w:sz w:val="18"/>
          <w:szCs w:val="18"/>
        </w:rPr>
        <w:t>revolutionary spirit — a fusion of the material and the volitional that reflects the voluntarist</w:t>
      </w:r>
      <w:r>
        <w:rPr>
          <w:rFonts w:ascii="Century Gothic" w:hAnsi="Century Gothic"/>
          <w:sz w:val="18"/>
          <w:szCs w:val="18"/>
        </w:rPr>
        <w:t xml:space="preserve"> </w:t>
      </w:r>
      <w:r w:rsidRPr="007763D7">
        <w:rPr>
          <w:rFonts w:ascii="Century Gothic" w:hAnsi="Century Gothic"/>
          <w:sz w:val="18"/>
          <w:szCs w:val="18"/>
        </w:rPr>
        <w:t>strand within Maoist thought. This bodily integration — the de-differentiation of gender</w:t>
      </w:r>
      <w:r>
        <w:rPr>
          <w:rFonts w:ascii="Century Gothic" w:hAnsi="Century Gothic"/>
          <w:sz w:val="18"/>
          <w:szCs w:val="18"/>
        </w:rPr>
        <w:t xml:space="preserve"> </w:t>
      </w:r>
      <w:r w:rsidRPr="007763D7">
        <w:rPr>
          <w:rFonts w:ascii="Century Gothic" w:hAnsi="Century Gothic"/>
          <w:sz w:val="18"/>
          <w:szCs w:val="18"/>
        </w:rPr>
        <w:t>through class, all bodies labouring, equal in force and contribution — was not conceived as</w:t>
      </w:r>
      <w:r>
        <w:rPr>
          <w:rFonts w:ascii="Century Gothic" w:hAnsi="Century Gothic"/>
          <w:sz w:val="18"/>
          <w:szCs w:val="18"/>
        </w:rPr>
        <w:t xml:space="preserve"> </w:t>
      </w:r>
      <w:r w:rsidRPr="007763D7">
        <w:rPr>
          <w:rFonts w:ascii="Century Gothic" w:hAnsi="Century Gothic"/>
          <w:sz w:val="18"/>
          <w:szCs w:val="18"/>
        </w:rPr>
        <w:t>suppression but as empowerment. Ideology does not interpellate abstract subjects; it</w:t>
      </w:r>
      <w:r>
        <w:rPr>
          <w:rFonts w:ascii="Century Gothic" w:hAnsi="Century Gothic"/>
          <w:sz w:val="18"/>
          <w:szCs w:val="18"/>
        </w:rPr>
        <w:t xml:space="preserve"> </w:t>
      </w:r>
      <w:r w:rsidRPr="007763D7">
        <w:rPr>
          <w:rFonts w:ascii="Century Gothic" w:hAnsi="Century Gothic"/>
          <w:sz w:val="18"/>
          <w:szCs w:val="18"/>
        </w:rPr>
        <w:t>interpellates bodies. The underlying logic holds that new bodies will organically generate new</w:t>
      </w:r>
      <w:r>
        <w:rPr>
          <w:rFonts w:ascii="Century Gothic" w:hAnsi="Century Gothic"/>
          <w:sz w:val="18"/>
          <w:szCs w:val="18"/>
        </w:rPr>
        <w:t xml:space="preserve"> </w:t>
      </w:r>
      <w:r w:rsidRPr="007763D7">
        <w:rPr>
          <w:rFonts w:ascii="Century Gothic" w:hAnsi="Century Gothic"/>
          <w:sz w:val="18"/>
          <w:szCs w:val="18"/>
        </w:rPr>
        <w:t>culture, which will realise the revolution.</w:t>
      </w:r>
    </w:p>
    <w:p w14:paraId="38EF4E4A" w14:textId="6F1CEC9D" w:rsidR="00C70EBF" w:rsidRDefault="007763D7" w:rsidP="00AF774A">
      <w:pPr>
        <w:spacing w:after="240" w:line="360" w:lineRule="auto"/>
        <w:rPr>
          <w:rFonts w:ascii="Century Gothic" w:hAnsi="Century Gothic"/>
          <w:sz w:val="18"/>
          <w:szCs w:val="18"/>
        </w:rPr>
      </w:pPr>
      <w:r w:rsidRPr="007763D7">
        <w:rPr>
          <w:rFonts w:ascii="Century Gothic" w:hAnsi="Century Gothic"/>
          <w:sz w:val="18"/>
          <w:szCs w:val="18"/>
        </w:rPr>
        <w:t>It is this conviction — that aesthetic and bodily transformation are themselves political</w:t>
      </w:r>
      <w:r>
        <w:rPr>
          <w:rFonts w:ascii="Century Gothic" w:hAnsi="Century Gothic"/>
          <w:sz w:val="18"/>
          <w:szCs w:val="18"/>
        </w:rPr>
        <w:t xml:space="preserve"> </w:t>
      </w:r>
      <w:r w:rsidRPr="007763D7">
        <w:rPr>
          <w:rFonts w:ascii="Century Gothic" w:hAnsi="Century Gothic"/>
          <w:sz w:val="18"/>
          <w:szCs w:val="18"/>
        </w:rPr>
        <w:t>transformation — that makes the labouring, willing, integrated body of Maoist visual culture</w:t>
      </w:r>
      <w:r>
        <w:rPr>
          <w:rFonts w:ascii="Century Gothic" w:hAnsi="Century Gothic"/>
          <w:sz w:val="18"/>
          <w:szCs w:val="18"/>
        </w:rPr>
        <w:t xml:space="preserve"> </w:t>
      </w:r>
      <w:r w:rsidRPr="007763D7">
        <w:rPr>
          <w:rFonts w:ascii="Century Gothic" w:hAnsi="Century Gothic"/>
          <w:sz w:val="18"/>
          <w:szCs w:val="18"/>
        </w:rPr>
        <w:t>not merely a historical image, but a site where politics was believed to be made.</w:t>
      </w:r>
    </w:p>
    <w:p w14:paraId="5D515F4B" w14:textId="145F3F97" w:rsidR="00C70EBF" w:rsidRPr="007763D7" w:rsidRDefault="00C70EBF" w:rsidP="00AF774A">
      <w:pPr>
        <w:spacing w:after="240" w:line="360" w:lineRule="auto"/>
        <w:rPr>
          <w:rFonts w:ascii="Century Gothic" w:hAnsi="Century Gothic"/>
          <w:b/>
          <w:bCs/>
          <w:sz w:val="18"/>
          <w:szCs w:val="18"/>
        </w:rPr>
      </w:pPr>
      <w:r w:rsidRPr="007763D7">
        <w:rPr>
          <w:rFonts w:ascii="Century Gothic" w:hAnsi="Century Gothic"/>
          <w:b/>
          <w:bCs/>
          <w:sz w:val="18"/>
          <w:szCs w:val="18"/>
        </w:rPr>
        <w:t>'Display as Discipline: The Representation of the Female Body in Early Modern Anatomical Fugitive Sheets' (Hanne Berendse, University of Innsbruck and The Warburg Institute)</w:t>
      </w:r>
    </w:p>
    <w:p w14:paraId="38017EC5" w14:textId="12D219C9" w:rsidR="00C70EBF" w:rsidRDefault="007763D7" w:rsidP="00AF774A">
      <w:pPr>
        <w:spacing w:after="240" w:line="360" w:lineRule="auto"/>
        <w:rPr>
          <w:rFonts w:ascii="Century Gothic" w:hAnsi="Century Gothic"/>
          <w:sz w:val="18"/>
          <w:szCs w:val="18"/>
        </w:rPr>
      </w:pPr>
      <w:r w:rsidRPr="007763D7">
        <w:rPr>
          <w:rFonts w:ascii="Century Gothic" w:hAnsi="Century Gothic"/>
          <w:sz w:val="18"/>
          <w:szCs w:val="18"/>
        </w:rPr>
        <w:t>Across early modern Europe, a primary concern was keeping women, and by extension their</w:t>
      </w:r>
      <w:r>
        <w:rPr>
          <w:rFonts w:ascii="Century Gothic" w:hAnsi="Century Gothic"/>
          <w:sz w:val="18"/>
          <w:szCs w:val="18"/>
        </w:rPr>
        <w:t xml:space="preserve"> </w:t>
      </w:r>
      <w:r w:rsidRPr="007763D7">
        <w:rPr>
          <w:rFonts w:ascii="Century Gothic" w:hAnsi="Century Gothic"/>
          <w:sz w:val="18"/>
          <w:szCs w:val="18"/>
        </w:rPr>
        <w:t>bodies, in check. From medical discourse to visual culture, female physiology was mobilised</w:t>
      </w:r>
      <w:r>
        <w:rPr>
          <w:rFonts w:ascii="Century Gothic" w:hAnsi="Century Gothic"/>
          <w:sz w:val="18"/>
          <w:szCs w:val="18"/>
        </w:rPr>
        <w:t xml:space="preserve"> </w:t>
      </w:r>
      <w:r w:rsidRPr="007763D7">
        <w:rPr>
          <w:rFonts w:ascii="Century Gothic" w:hAnsi="Century Gothic"/>
          <w:sz w:val="18"/>
          <w:szCs w:val="18"/>
        </w:rPr>
        <w:t>to justify women’s exclusion from intellectual, political, and public life to prevent social</w:t>
      </w:r>
      <w:r>
        <w:rPr>
          <w:rFonts w:ascii="Century Gothic" w:hAnsi="Century Gothic"/>
          <w:sz w:val="18"/>
          <w:szCs w:val="18"/>
        </w:rPr>
        <w:t xml:space="preserve"> </w:t>
      </w:r>
      <w:r w:rsidRPr="007763D7">
        <w:rPr>
          <w:rFonts w:ascii="Century Gothic" w:hAnsi="Century Gothic"/>
          <w:sz w:val="18"/>
          <w:szCs w:val="18"/>
        </w:rPr>
        <w:t>disorder. This paper examines the anatomical fugitive sheet – a mass-printed broadsheet</w:t>
      </w:r>
      <w:r>
        <w:rPr>
          <w:rFonts w:ascii="Century Gothic" w:hAnsi="Century Gothic"/>
          <w:sz w:val="18"/>
          <w:szCs w:val="18"/>
        </w:rPr>
        <w:t xml:space="preserve"> </w:t>
      </w:r>
      <w:r w:rsidRPr="007763D7">
        <w:rPr>
          <w:rFonts w:ascii="Century Gothic" w:hAnsi="Century Gothic"/>
          <w:sz w:val="18"/>
          <w:szCs w:val="18"/>
        </w:rPr>
        <w:t>meant for interactive use by a non-specialist male audience, featuring layered paper flaps that</w:t>
      </w:r>
      <w:r>
        <w:rPr>
          <w:rFonts w:ascii="Century Gothic" w:hAnsi="Century Gothic"/>
          <w:sz w:val="18"/>
          <w:szCs w:val="18"/>
        </w:rPr>
        <w:t xml:space="preserve"> </w:t>
      </w:r>
      <w:r w:rsidRPr="007763D7">
        <w:rPr>
          <w:rFonts w:ascii="Century Gothic" w:hAnsi="Century Gothic"/>
          <w:sz w:val="18"/>
          <w:szCs w:val="18"/>
        </w:rPr>
        <w:t>revealed successive strata of the human body – as a case study. Accompanied by explanatory</w:t>
      </w:r>
      <w:r>
        <w:rPr>
          <w:rFonts w:ascii="Century Gothic" w:hAnsi="Century Gothic"/>
          <w:sz w:val="18"/>
          <w:szCs w:val="18"/>
        </w:rPr>
        <w:t xml:space="preserve"> </w:t>
      </w:r>
      <w:r w:rsidRPr="007763D7">
        <w:rPr>
          <w:rFonts w:ascii="Century Gothic" w:hAnsi="Century Gothic"/>
          <w:sz w:val="18"/>
          <w:szCs w:val="18"/>
        </w:rPr>
        <w:t>texts, the sheets presented the male body as the ‘human’ body, while the female body was</w:t>
      </w:r>
      <w:r>
        <w:rPr>
          <w:rFonts w:ascii="Century Gothic" w:hAnsi="Century Gothic"/>
          <w:sz w:val="18"/>
          <w:szCs w:val="18"/>
        </w:rPr>
        <w:t xml:space="preserve"> </w:t>
      </w:r>
      <w:r w:rsidRPr="007763D7">
        <w:rPr>
          <w:rFonts w:ascii="Century Gothic" w:hAnsi="Century Gothic"/>
          <w:sz w:val="18"/>
          <w:szCs w:val="18"/>
        </w:rPr>
        <w:t>framed as derivative, passive, and defined primarily through reproduction. The interaction of</w:t>
      </w:r>
      <w:r>
        <w:rPr>
          <w:rFonts w:ascii="Century Gothic" w:hAnsi="Century Gothic"/>
          <w:sz w:val="18"/>
          <w:szCs w:val="18"/>
        </w:rPr>
        <w:t xml:space="preserve"> </w:t>
      </w:r>
      <w:r w:rsidRPr="007763D7">
        <w:rPr>
          <w:rFonts w:ascii="Century Gothic" w:hAnsi="Century Gothic"/>
          <w:sz w:val="18"/>
          <w:szCs w:val="18"/>
        </w:rPr>
        <w:t>text and image positioned the male body as normative and authoritative, with the female body</w:t>
      </w:r>
      <w:r>
        <w:rPr>
          <w:rFonts w:ascii="Century Gothic" w:hAnsi="Century Gothic"/>
          <w:sz w:val="18"/>
          <w:szCs w:val="18"/>
        </w:rPr>
        <w:t xml:space="preserve"> </w:t>
      </w:r>
      <w:r w:rsidRPr="007763D7">
        <w:rPr>
          <w:rFonts w:ascii="Century Gothic" w:hAnsi="Century Gothic"/>
          <w:sz w:val="18"/>
          <w:szCs w:val="18"/>
        </w:rPr>
        <w:t>displayed as an object of epistemic – and erotic – consumption. By analysing the sheets at the</w:t>
      </w:r>
      <w:r>
        <w:rPr>
          <w:rFonts w:ascii="Century Gothic" w:hAnsi="Century Gothic"/>
          <w:sz w:val="18"/>
          <w:szCs w:val="18"/>
        </w:rPr>
        <w:t xml:space="preserve"> </w:t>
      </w:r>
      <w:r w:rsidRPr="007763D7">
        <w:rPr>
          <w:rFonts w:ascii="Century Gothic" w:hAnsi="Century Gothic"/>
          <w:sz w:val="18"/>
          <w:szCs w:val="18"/>
        </w:rPr>
        <w:t>intersection of iconography, medical history, and gender studies, this paper argues that</w:t>
      </w:r>
      <w:r>
        <w:rPr>
          <w:rFonts w:ascii="Century Gothic" w:hAnsi="Century Gothic"/>
          <w:sz w:val="18"/>
          <w:szCs w:val="18"/>
        </w:rPr>
        <w:t xml:space="preserve"> </w:t>
      </w:r>
      <w:r w:rsidRPr="007763D7">
        <w:rPr>
          <w:rFonts w:ascii="Century Gothic" w:hAnsi="Century Gothic"/>
          <w:sz w:val="18"/>
          <w:szCs w:val="18"/>
        </w:rPr>
        <w:t>anatomical fugitive sheets, under the pretense of ‘know[ing] thyself’, served as instruments to</w:t>
      </w:r>
      <w:r>
        <w:rPr>
          <w:rFonts w:ascii="Century Gothic" w:hAnsi="Century Gothic"/>
          <w:sz w:val="18"/>
          <w:szCs w:val="18"/>
        </w:rPr>
        <w:t xml:space="preserve"> </w:t>
      </w:r>
      <w:r w:rsidRPr="007763D7">
        <w:rPr>
          <w:rFonts w:ascii="Century Gothic" w:hAnsi="Century Gothic"/>
          <w:sz w:val="18"/>
          <w:szCs w:val="18"/>
        </w:rPr>
        <w:t>discipline female bodies and reinforce gendered hierarchies. Thereby, the sheets illustrate</w:t>
      </w:r>
      <w:r>
        <w:rPr>
          <w:rFonts w:ascii="Century Gothic" w:hAnsi="Century Gothic"/>
          <w:sz w:val="18"/>
          <w:szCs w:val="18"/>
        </w:rPr>
        <w:t xml:space="preserve"> </w:t>
      </w:r>
      <w:r w:rsidRPr="007763D7">
        <w:rPr>
          <w:rFonts w:ascii="Century Gothic" w:hAnsi="Century Gothic"/>
          <w:sz w:val="18"/>
          <w:szCs w:val="18"/>
        </w:rPr>
        <w:t>how in the early modern period, too, mass media was deployed to regulate women’s bodies</w:t>
      </w:r>
      <w:r>
        <w:rPr>
          <w:rFonts w:ascii="Century Gothic" w:hAnsi="Century Gothic"/>
          <w:sz w:val="18"/>
          <w:szCs w:val="18"/>
        </w:rPr>
        <w:t xml:space="preserve"> </w:t>
      </w:r>
      <w:r w:rsidRPr="007763D7">
        <w:rPr>
          <w:rFonts w:ascii="Century Gothic" w:hAnsi="Century Gothic"/>
          <w:sz w:val="18"/>
          <w:szCs w:val="18"/>
        </w:rPr>
        <w:t>and stabilise social order</w:t>
      </w:r>
    </w:p>
    <w:p w14:paraId="5E089308" w14:textId="77777777" w:rsidR="00687775" w:rsidRDefault="00687775" w:rsidP="00AF774A">
      <w:pPr>
        <w:spacing w:after="240" w:line="360" w:lineRule="auto"/>
        <w:rPr>
          <w:rFonts w:ascii="Century Gothic" w:hAnsi="Century Gothic"/>
          <w:sz w:val="18"/>
          <w:szCs w:val="18"/>
        </w:rPr>
      </w:pPr>
    </w:p>
    <w:p w14:paraId="5C96E0C6" w14:textId="77777777" w:rsidR="00C70EBF" w:rsidRPr="00C70EBF" w:rsidRDefault="00C70EBF" w:rsidP="00AF774A">
      <w:pPr>
        <w:spacing w:after="240" w:line="360" w:lineRule="auto"/>
        <w:jc w:val="center"/>
        <w:rPr>
          <w:rFonts w:ascii="Century Gothic" w:hAnsi="Century Gothic"/>
          <w:b/>
          <w:bCs/>
          <w:i/>
          <w:iCs/>
          <w:sz w:val="18"/>
          <w:szCs w:val="18"/>
        </w:rPr>
      </w:pPr>
      <w:r w:rsidRPr="00C70EBF">
        <w:rPr>
          <w:rFonts w:ascii="Century Gothic" w:hAnsi="Century Gothic"/>
          <w:b/>
          <w:bCs/>
          <w:i/>
          <w:iCs/>
          <w:sz w:val="18"/>
          <w:szCs w:val="18"/>
        </w:rPr>
        <w:t>Panel 4: Writing Bodies and Writing the Body</w:t>
      </w:r>
    </w:p>
    <w:p w14:paraId="00641A68" w14:textId="46189608" w:rsidR="00C70EBF" w:rsidRPr="006C7B19" w:rsidRDefault="00C70EBF" w:rsidP="00AF774A">
      <w:pPr>
        <w:spacing w:after="240" w:line="360" w:lineRule="auto"/>
        <w:rPr>
          <w:rFonts w:ascii="Century Gothic" w:hAnsi="Century Gothic"/>
          <w:b/>
          <w:bCs/>
          <w:sz w:val="18"/>
          <w:szCs w:val="18"/>
        </w:rPr>
      </w:pPr>
      <w:r w:rsidRPr="006C7B19">
        <w:rPr>
          <w:rFonts w:ascii="Century Gothic" w:hAnsi="Century Gothic"/>
          <w:b/>
          <w:bCs/>
          <w:sz w:val="18"/>
          <w:szCs w:val="18"/>
        </w:rPr>
        <w:t>'Death by the book: The fin-de-siècle livre de luxe as body, female flesh and toxic poisoner' (Elisian Ralli, University of Oxford)</w:t>
      </w:r>
    </w:p>
    <w:p w14:paraId="39A380AA" w14:textId="3D4EA01B" w:rsidR="006C7B19" w:rsidRPr="006C7B19" w:rsidRDefault="006C7B19" w:rsidP="006C7B19">
      <w:pPr>
        <w:spacing w:after="240" w:line="360" w:lineRule="auto"/>
        <w:rPr>
          <w:rFonts w:ascii="Century Gothic" w:hAnsi="Century Gothic"/>
          <w:sz w:val="18"/>
          <w:szCs w:val="18"/>
        </w:rPr>
      </w:pPr>
      <w:r w:rsidRPr="006C7B19">
        <w:rPr>
          <w:rFonts w:ascii="Century Gothic" w:hAnsi="Century Gothic"/>
          <w:sz w:val="18"/>
          <w:szCs w:val="18"/>
        </w:rPr>
        <w:t>‘Your book has literally made me ill’, wrote artist Jean-François Raffaëlli to J.-K. Huysmans</w:t>
      </w:r>
      <w:r>
        <w:rPr>
          <w:rFonts w:ascii="Century Gothic" w:hAnsi="Century Gothic"/>
          <w:sz w:val="18"/>
          <w:szCs w:val="18"/>
        </w:rPr>
        <w:t xml:space="preserve"> </w:t>
      </w:r>
      <w:r w:rsidRPr="006C7B19">
        <w:rPr>
          <w:rFonts w:ascii="Century Gothic" w:hAnsi="Century Gothic"/>
          <w:sz w:val="18"/>
          <w:szCs w:val="18"/>
        </w:rPr>
        <w:t>regarding his novel À Rebours (1884). Reprinted in a luxury edition by the Cent Bibliophiles</w:t>
      </w:r>
      <w:r>
        <w:rPr>
          <w:rFonts w:ascii="Century Gothic" w:hAnsi="Century Gothic"/>
          <w:sz w:val="18"/>
          <w:szCs w:val="18"/>
        </w:rPr>
        <w:t xml:space="preserve"> </w:t>
      </w:r>
      <w:r w:rsidRPr="006C7B19">
        <w:rPr>
          <w:rFonts w:ascii="Century Gothic" w:hAnsi="Century Gothic"/>
          <w:sz w:val="18"/>
          <w:szCs w:val="18"/>
        </w:rPr>
        <w:t>society in 1903, it centres on an isolated bibliophile who commissions bespoke editions and</w:t>
      </w:r>
      <w:r>
        <w:rPr>
          <w:rFonts w:ascii="Century Gothic" w:hAnsi="Century Gothic"/>
          <w:sz w:val="18"/>
          <w:szCs w:val="18"/>
        </w:rPr>
        <w:t xml:space="preserve"> </w:t>
      </w:r>
      <w:r w:rsidRPr="006C7B19">
        <w:rPr>
          <w:rFonts w:ascii="Century Gothic" w:hAnsi="Century Gothic"/>
          <w:sz w:val="18"/>
          <w:szCs w:val="18"/>
        </w:rPr>
        <w:t>lives through tactile rituals of smelling, handling, and contemplating books. This fictional</w:t>
      </w:r>
      <w:r>
        <w:rPr>
          <w:rFonts w:ascii="Century Gothic" w:hAnsi="Century Gothic"/>
          <w:sz w:val="18"/>
          <w:szCs w:val="18"/>
        </w:rPr>
        <w:t xml:space="preserve"> </w:t>
      </w:r>
      <w:r w:rsidRPr="006C7B19">
        <w:rPr>
          <w:rFonts w:ascii="Century Gothic" w:hAnsi="Century Gothic"/>
          <w:sz w:val="18"/>
          <w:szCs w:val="18"/>
        </w:rPr>
        <w:t>collector became a model for fin-de-siècle bibliophile societies: elite circles of collectors</w:t>
      </w:r>
      <w:r>
        <w:rPr>
          <w:rFonts w:ascii="Century Gothic" w:hAnsi="Century Gothic"/>
          <w:sz w:val="18"/>
          <w:szCs w:val="18"/>
        </w:rPr>
        <w:t xml:space="preserve"> </w:t>
      </w:r>
      <w:r w:rsidRPr="006C7B19">
        <w:rPr>
          <w:rFonts w:ascii="Century Gothic" w:hAnsi="Century Gothic"/>
          <w:sz w:val="18"/>
          <w:szCs w:val="18"/>
        </w:rPr>
        <w:t>who artistically edited and hand-printed their own limited-edition livres de luxe. Drawing on</w:t>
      </w:r>
      <w:r>
        <w:rPr>
          <w:rFonts w:ascii="Century Gothic" w:hAnsi="Century Gothic"/>
          <w:sz w:val="18"/>
          <w:szCs w:val="18"/>
        </w:rPr>
        <w:t xml:space="preserve"> </w:t>
      </w:r>
      <w:r w:rsidRPr="006C7B19">
        <w:rPr>
          <w:rFonts w:ascii="Century Gothic" w:hAnsi="Century Gothic"/>
          <w:sz w:val="18"/>
          <w:szCs w:val="18"/>
        </w:rPr>
        <w:t>such editions, this paper traces the bodily relationship that developed between book and</w:t>
      </w:r>
      <w:r>
        <w:rPr>
          <w:rFonts w:ascii="Century Gothic" w:hAnsi="Century Gothic"/>
          <w:sz w:val="18"/>
          <w:szCs w:val="18"/>
        </w:rPr>
        <w:t xml:space="preserve"> </w:t>
      </w:r>
      <w:r w:rsidRPr="006C7B19">
        <w:rPr>
          <w:rFonts w:ascii="Century Gothic" w:hAnsi="Century Gothic"/>
          <w:sz w:val="18"/>
          <w:szCs w:val="18"/>
        </w:rPr>
        <w:t>bibliophile in this period.</w:t>
      </w:r>
    </w:p>
    <w:p w14:paraId="20598494" w14:textId="49085E90" w:rsidR="00C70EBF" w:rsidRDefault="006C7B19" w:rsidP="00AF774A">
      <w:pPr>
        <w:spacing w:after="240" w:line="360" w:lineRule="auto"/>
        <w:rPr>
          <w:rFonts w:ascii="Century Gothic" w:hAnsi="Century Gothic"/>
          <w:sz w:val="18"/>
          <w:szCs w:val="18"/>
        </w:rPr>
      </w:pPr>
      <w:r w:rsidRPr="006C7B19">
        <w:rPr>
          <w:rFonts w:ascii="Century Gothic" w:hAnsi="Century Gothic"/>
          <w:sz w:val="18"/>
          <w:szCs w:val="18"/>
        </w:rPr>
        <w:t>In these exclusively male circles, books are feminised as their materiality (leather binding,</w:t>
      </w:r>
      <w:r>
        <w:rPr>
          <w:rFonts w:ascii="Century Gothic" w:hAnsi="Century Gothic"/>
          <w:sz w:val="18"/>
          <w:szCs w:val="18"/>
        </w:rPr>
        <w:t xml:space="preserve"> </w:t>
      </w:r>
      <w:r w:rsidRPr="006C7B19">
        <w:rPr>
          <w:rFonts w:ascii="Century Gothic" w:hAnsi="Century Gothic"/>
          <w:sz w:val="18"/>
          <w:szCs w:val="18"/>
        </w:rPr>
        <w:t>illustrations, paper) stages a fantasy of possession and tactile interaction.</w:t>
      </w:r>
      <w:r>
        <w:rPr>
          <w:rFonts w:ascii="Century Gothic" w:hAnsi="Century Gothic"/>
          <w:sz w:val="18"/>
          <w:szCs w:val="18"/>
        </w:rPr>
        <w:t xml:space="preserve"> </w:t>
      </w:r>
      <w:r w:rsidRPr="006C7B19">
        <w:rPr>
          <w:rFonts w:ascii="Century Gothic" w:hAnsi="Century Gothic"/>
          <w:sz w:val="18"/>
          <w:szCs w:val="18"/>
        </w:rPr>
        <w:t>Anthropomorphised books replace women and become mistresses, erotically involved with</w:t>
      </w:r>
      <w:r>
        <w:rPr>
          <w:rFonts w:ascii="Century Gothic" w:hAnsi="Century Gothic"/>
          <w:sz w:val="18"/>
          <w:szCs w:val="18"/>
        </w:rPr>
        <w:t xml:space="preserve"> </w:t>
      </w:r>
      <w:r w:rsidRPr="006C7B19">
        <w:rPr>
          <w:rFonts w:ascii="Century Gothic" w:hAnsi="Century Gothic"/>
          <w:sz w:val="18"/>
          <w:szCs w:val="18"/>
        </w:rPr>
        <w:t>their collector. Yet, the book soon turns poisonous in the guise of an alluring but deadly</w:t>
      </w:r>
      <w:r>
        <w:rPr>
          <w:rFonts w:ascii="Century Gothic" w:hAnsi="Century Gothic"/>
          <w:sz w:val="18"/>
          <w:szCs w:val="18"/>
        </w:rPr>
        <w:t xml:space="preserve"> </w:t>
      </w:r>
      <w:r w:rsidRPr="006C7B19">
        <w:rPr>
          <w:rFonts w:ascii="Century Gothic" w:hAnsi="Century Gothic"/>
          <w:sz w:val="18"/>
          <w:szCs w:val="18"/>
        </w:rPr>
        <w:t>femme fatale, central to the Decadent imagination. Rooted in nineteenth-century</w:t>
      </w:r>
      <w:r>
        <w:rPr>
          <w:rFonts w:ascii="Century Gothic" w:hAnsi="Century Gothic"/>
          <w:sz w:val="18"/>
          <w:szCs w:val="18"/>
        </w:rPr>
        <w:t xml:space="preserve"> </w:t>
      </w:r>
      <w:r w:rsidRPr="006C7B19">
        <w:rPr>
          <w:rFonts w:ascii="Century Gothic" w:hAnsi="Century Gothic"/>
          <w:sz w:val="18"/>
          <w:szCs w:val="18"/>
        </w:rPr>
        <w:t xml:space="preserve">‘arsenophobia’ , the fear of contamination </w:t>
      </w:r>
      <w:r w:rsidRPr="006C7B19">
        <w:rPr>
          <w:rFonts w:ascii="Century Gothic" w:hAnsi="Century Gothic"/>
          <w:sz w:val="18"/>
          <w:szCs w:val="18"/>
        </w:rPr>
        <w:lastRenderedPageBreak/>
        <w:t>through touch looms over bibliophilia;</w:t>
      </w:r>
      <w:r>
        <w:rPr>
          <w:rFonts w:ascii="Century Gothic" w:hAnsi="Century Gothic"/>
          <w:sz w:val="18"/>
          <w:szCs w:val="18"/>
        </w:rPr>
        <w:t xml:space="preserve"> </w:t>
      </w:r>
      <w:r w:rsidRPr="006C7B19">
        <w:rPr>
          <w:rFonts w:ascii="Century Gothic" w:hAnsi="Century Gothic"/>
          <w:sz w:val="18"/>
          <w:szCs w:val="18"/>
        </w:rPr>
        <w:t>medicalised language frames book-collecting as intoxication or pathology, in keeping with</w:t>
      </w:r>
      <w:r>
        <w:rPr>
          <w:rFonts w:ascii="Century Gothic" w:hAnsi="Century Gothic"/>
          <w:sz w:val="18"/>
          <w:szCs w:val="18"/>
        </w:rPr>
        <w:t xml:space="preserve"> </w:t>
      </w:r>
      <w:r w:rsidRPr="006C7B19">
        <w:rPr>
          <w:rFonts w:ascii="Century Gothic" w:hAnsi="Century Gothic"/>
          <w:sz w:val="18"/>
          <w:szCs w:val="18"/>
        </w:rPr>
        <w:t>the period’s fixation on the physical symptoms of neurosis —the disease of the century. The</w:t>
      </w:r>
      <w:r>
        <w:rPr>
          <w:rFonts w:ascii="Century Gothic" w:hAnsi="Century Gothic"/>
          <w:sz w:val="18"/>
          <w:szCs w:val="18"/>
        </w:rPr>
        <w:t xml:space="preserve"> </w:t>
      </w:r>
      <w:r w:rsidRPr="006C7B19">
        <w:rPr>
          <w:rFonts w:ascii="Century Gothic" w:hAnsi="Century Gothic"/>
          <w:sz w:val="18"/>
          <w:szCs w:val="18"/>
        </w:rPr>
        <w:t>livre de luxe ultimately emerges as both female flesh and mirror: a body onto which the</w:t>
      </w:r>
      <w:r>
        <w:rPr>
          <w:rFonts w:ascii="Century Gothic" w:hAnsi="Century Gothic"/>
          <w:sz w:val="18"/>
          <w:szCs w:val="18"/>
        </w:rPr>
        <w:t xml:space="preserve"> </w:t>
      </w:r>
      <w:r w:rsidRPr="006C7B19">
        <w:rPr>
          <w:rFonts w:ascii="Century Gothic" w:hAnsi="Century Gothic"/>
          <w:sz w:val="18"/>
          <w:szCs w:val="18"/>
        </w:rPr>
        <w:t>collector projects his self-image, even as his body risks dissolving into the library that</w:t>
      </w:r>
      <w:r>
        <w:rPr>
          <w:rFonts w:ascii="Century Gothic" w:hAnsi="Century Gothic"/>
          <w:sz w:val="18"/>
          <w:szCs w:val="18"/>
        </w:rPr>
        <w:t xml:space="preserve"> </w:t>
      </w:r>
      <w:r w:rsidRPr="006C7B19">
        <w:rPr>
          <w:rFonts w:ascii="Century Gothic" w:hAnsi="Century Gothic"/>
          <w:sz w:val="18"/>
          <w:szCs w:val="18"/>
        </w:rPr>
        <w:t>reflects it.</w:t>
      </w:r>
    </w:p>
    <w:p w14:paraId="40152625" w14:textId="253FD398" w:rsidR="00C70EBF" w:rsidRPr="006C7B19" w:rsidRDefault="00C70EBF" w:rsidP="00AF774A">
      <w:pPr>
        <w:spacing w:after="240" w:line="360" w:lineRule="auto"/>
        <w:rPr>
          <w:rFonts w:ascii="Century Gothic" w:hAnsi="Century Gothic"/>
          <w:b/>
          <w:bCs/>
          <w:sz w:val="18"/>
          <w:szCs w:val="18"/>
        </w:rPr>
      </w:pPr>
      <w:r w:rsidRPr="006C7B19">
        <w:rPr>
          <w:rFonts w:ascii="Century Gothic" w:hAnsi="Century Gothic"/>
          <w:b/>
          <w:bCs/>
          <w:sz w:val="18"/>
          <w:szCs w:val="18"/>
        </w:rPr>
        <w:t>'Vegetal Femininity: Plant, Body, and Resistance in Women's Fiction' (Yang Zhang, Jinling Institute of Technology)</w:t>
      </w:r>
    </w:p>
    <w:p w14:paraId="4098C394" w14:textId="77777777" w:rsidR="007763D7" w:rsidRPr="007763D7" w:rsidRDefault="007763D7" w:rsidP="007763D7">
      <w:pPr>
        <w:spacing w:after="240" w:line="360" w:lineRule="auto"/>
        <w:rPr>
          <w:rFonts w:ascii="Century Gothic" w:hAnsi="Century Gothic"/>
          <w:sz w:val="18"/>
          <w:szCs w:val="18"/>
        </w:rPr>
      </w:pPr>
      <w:r w:rsidRPr="007763D7">
        <w:rPr>
          <w:rFonts w:ascii="Century Gothic" w:hAnsi="Century Gothic"/>
          <w:sz w:val="18"/>
          <w:szCs w:val="18"/>
        </w:rPr>
        <w:t>This paper proposes "vegetal femininity" as a critical concept for reading a recurring figure in women's writing: the female body that becomes, desires, or is forced into plant-life. Drawing on Han Kang's </w:t>
      </w:r>
      <w:r w:rsidRPr="007763D7">
        <w:rPr>
          <w:rFonts w:ascii="Century Gothic" w:hAnsi="Century Gothic"/>
          <w:i/>
          <w:iCs/>
          <w:sz w:val="18"/>
          <w:szCs w:val="18"/>
        </w:rPr>
        <w:t>The Vegetarian</w:t>
      </w:r>
      <w:r w:rsidRPr="007763D7">
        <w:rPr>
          <w:rFonts w:ascii="Century Gothic" w:hAnsi="Century Gothic"/>
          <w:sz w:val="18"/>
          <w:szCs w:val="18"/>
        </w:rPr>
        <w:t> and </w:t>
      </w:r>
      <w:r w:rsidRPr="007763D7">
        <w:rPr>
          <w:rFonts w:ascii="Century Gothic" w:hAnsi="Century Gothic"/>
          <w:i/>
          <w:iCs/>
          <w:sz w:val="18"/>
          <w:szCs w:val="18"/>
        </w:rPr>
        <w:t>The Fruit of My Woman</w:t>
      </w:r>
      <w:r w:rsidRPr="007763D7">
        <w:rPr>
          <w:rFonts w:ascii="Century Gothic" w:hAnsi="Century Gothic"/>
          <w:sz w:val="18"/>
          <w:szCs w:val="18"/>
        </w:rPr>
        <w:t>, Anne Richter's </w:t>
      </w:r>
      <w:r w:rsidRPr="007763D7">
        <w:rPr>
          <w:rFonts w:ascii="Century Gothic" w:hAnsi="Century Gothic"/>
          <w:i/>
          <w:iCs/>
          <w:sz w:val="18"/>
          <w:szCs w:val="18"/>
        </w:rPr>
        <w:t>The Sleep of Plants</w:t>
      </w:r>
      <w:r w:rsidRPr="007763D7">
        <w:rPr>
          <w:rFonts w:ascii="Century Gothic" w:hAnsi="Century Gothic"/>
          <w:sz w:val="18"/>
          <w:szCs w:val="18"/>
        </w:rPr>
        <w:t>, and Pat Murphy's </w:t>
      </w:r>
      <w:r w:rsidRPr="007763D7">
        <w:rPr>
          <w:rFonts w:ascii="Century Gothic" w:hAnsi="Century Gothic"/>
          <w:i/>
          <w:iCs/>
          <w:sz w:val="18"/>
          <w:szCs w:val="18"/>
        </w:rPr>
        <w:t>His Vegetable Wife</w:t>
      </w:r>
      <w:r w:rsidRPr="007763D7">
        <w:rPr>
          <w:rFonts w:ascii="Century Gothic" w:hAnsi="Century Gothic"/>
          <w:sz w:val="18"/>
          <w:szCs w:val="18"/>
        </w:rPr>
        <w:t>, and engaging with Michael Marder's plant-thinking, corporeal feminism, and ecofeminist theory, the paper traces three registers in which vegetalization is figured: as negation, a radical and embodied refusal of patriarchal and social order (Han Kang); as return, an affirmative longing for a primal, interconnected state of being prior to social inscription (Richter); and as a condition imposed by male will, endured through abuse, and finally reversed in an act of lethal reclamation (Murphy). Their shared position as women writers is itself constitutive of the argument: across Korean, European, and Anglophone traditions, these authors collectively engage the vegetal female figure as a site of rewriting — reclaiming a symbol that patriarchal culture has long used to render women passive, rootless, or ornamental — and it is this transnational act of rewriting that the paper ultimately seeks to theorize.</w:t>
      </w:r>
    </w:p>
    <w:p w14:paraId="6236ECD7" w14:textId="0A96A6F6" w:rsidR="00C70EBF" w:rsidRPr="006C7B19" w:rsidRDefault="00C70EBF" w:rsidP="00AF774A">
      <w:pPr>
        <w:spacing w:after="240" w:line="360" w:lineRule="auto"/>
        <w:rPr>
          <w:rFonts w:ascii="Century Gothic" w:hAnsi="Century Gothic"/>
          <w:b/>
          <w:bCs/>
          <w:sz w:val="18"/>
          <w:szCs w:val="18"/>
        </w:rPr>
      </w:pPr>
      <w:r w:rsidRPr="006C7B19">
        <w:rPr>
          <w:rFonts w:ascii="Century Gothic" w:hAnsi="Century Gothic"/>
          <w:b/>
          <w:bCs/>
          <w:sz w:val="18"/>
          <w:szCs w:val="18"/>
        </w:rPr>
        <w:t>'Commonplacing Meets the Body' (Finn Manders, UCL and Wellcome Collection)</w:t>
      </w:r>
    </w:p>
    <w:p w14:paraId="57055EAE" w14:textId="77777777" w:rsidR="007763D7" w:rsidRDefault="007763D7" w:rsidP="007763D7">
      <w:pPr>
        <w:spacing w:after="240" w:line="360" w:lineRule="auto"/>
        <w:rPr>
          <w:rFonts w:ascii="Century Gothic" w:hAnsi="Century Gothic"/>
          <w:sz w:val="18"/>
          <w:szCs w:val="18"/>
        </w:rPr>
      </w:pPr>
      <w:r w:rsidRPr="007763D7">
        <w:rPr>
          <w:rFonts w:ascii="Century Gothic" w:hAnsi="Century Gothic"/>
          <w:sz w:val="18"/>
          <w:szCs w:val="18"/>
        </w:rPr>
        <w:t>In the library, chapel, and the ‘great and little parlours’ of Catledge Hall,</w:t>
      </w:r>
      <w:r>
        <w:rPr>
          <w:rFonts w:ascii="Century Gothic" w:hAnsi="Century Gothic"/>
          <w:sz w:val="18"/>
          <w:szCs w:val="18"/>
        </w:rPr>
        <w:t xml:space="preserve"> </w:t>
      </w:r>
      <w:r w:rsidRPr="007763D7">
        <w:rPr>
          <w:rFonts w:ascii="Century Gothic" w:hAnsi="Century Gothic"/>
          <w:sz w:val="18"/>
          <w:szCs w:val="18"/>
        </w:rPr>
        <w:t>Cambridgeshire, the domestic chaplain Nathaniel Dalton compiled his commonplace book.</w:t>
      </w:r>
      <w:r>
        <w:rPr>
          <w:rFonts w:ascii="Century Gothic" w:hAnsi="Century Gothic"/>
          <w:sz w:val="18"/>
          <w:szCs w:val="18"/>
        </w:rPr>
        <w:t xml:space="preserve"> </w:t>
      </w:r>
      <w:r w:rsidRPr="007763D7">
        <w:rPr>
          <w:rFonts w:ascii="Century Gothic" w:hAnsi="Century Gothic"/>
          <w:sz w:val="18"/>
          <w:szCs w:val="18"/>
        </w:rPr>
        <w:t>Beginning in January 1668/9, Dalton blended body-mind processes of reading, writing and</w:t>
      </w:r>
      <w:r>
        <w:rPr>
          <w:rFonts w:ascii="Century Gothic" w:hAnsi="Century Gothic"/>
          <w:sz w:val="18"/>
          <w:szCs w:val="18"/>
        </w:rPr>
        <w:t xml:space="preserve"> </w:t>
      </w:r>
      <w:r w:rsidRPr="007763D7">
        <w:rPr>
          <w:rFonts w:ascii="Century Gothic" w:hAnsi="Century Gothic"/>
          <w:sz w:val="18"/>
          <w:szCs w:val="18"/>
        </w:rPr>
        <w:t>transcribing to create a large, alphabetically-headed folio volume. This process of compilation</w:t>
      </w:r>
      <w:r>
        <w:rPr>
          <w:rFonts w:ascii="Century Gothic" w:hAnsi="Century Gothic"/>
          <w:sz w:val="18"/>
          <w:szCs w:val="18"/>
        </w:rPr>
        <w:t xml:space="preserve"> </w:t>
      </w:r>
      <w:r w:rsidRPr="007763D7">
        <w:rPr>
          <w:rFonts w:ascii="Century Gothic" w:hAnsi="Century Gothic"/>
          <w:sz w:val="18"/>
          <w:szCs w:val="18"/>
        </w:rPr>
        <w:t>was one of bodily ‘doing’: of the hand across the page, between heavy books and reading</w:t>
      </w:r>
      <w:r>
        <w:rPr>
          <w:rFonts w:ascii="Century Gothic" w:hAnsi="Century Gothic"/>
          <w:sz w:val="18"/>
          <w:szCs w:val="18"/>
        </w:rPr>
        <w:t xml:space="preserve"> </w:t>
      </w:r>
      <w:r w:rsidRPr="007763D7">
        <w:rPr>
          <w:rFonts w:ascii="Century Gothic" w:hAnsi="Century Gothic"/>
          <w:sz w:val="18"/>
          <w:szCs w:val="18"/>
        </w:rPr>
        <w:t>devices, and up and down the halls and stairs of Catledge Hall.</w:t>
      </w:r>
      <w:r>
        <w:rPr>
          <w:rFonts w:ascii="Century Gothic" w:hAnsi="Century Gothic"/>
          <w:sz w:val="18"/>
          <w:szCs w:val="18"/>
        </w:rPr>
        <w:t xml:space="preserve"> </w:t>
      </w:r>
    </w:p>
    <w:p w14:paraId="2F682776" w14:textId="53BC8A7D" w:rsidR="00C70EBF" w:rsidRDefault="007763D7" w:rsidP="00AF774A">
      <w:pPr>
        <w:spacing w:after="240" w:line="360" w:lineRule="auto"/>
        <w:rPr>
          <w:rFonts w:ascii="Century Gothic" w:hAnsi="Century Gothic"/>
          <w:sz w:val="18"/>
          <w:szCs w:val="18"/>
        </w:rPr>
      </w:pPr>
      <w:r w:rsidRPr="007763D7">
        <w:rPr>
          <w:rFonts w:ascii="Century Gothic" w:hAnsi="Century Gothic"/>
          <w:sz w:val="18"/>
          <w:szCs w:val="18"/>
        </w:rPr>
        <w:t>This paper uses Dalton’s manuscript commonplace book as a case study to explore the</w:t>
      </w:r>
      <w:r>
        <w:rPr>
          <w:rFonts w:ascii="Century Gothic" w:hAnsi="Century Gothic"/>
          <w:sz w:val="18"/>
          <w:szCs w:val="18"/>
        </w:rPr>
        <w:t xml:space="preserve"> </w:t>
      </w:r>
      <w:r w:rsidRPr="007763D7">
        <w:rPr>
          <w:rFonts w:ascii="Century Gothic" w:hAnsi="Century Gothic"/>
          <w:sz w:val="18"/>
          <w:szCs w:val="18"/>
        </w:rPr>
        <w:t>physical and bodily processes of commonplacing as ‘making and doing’. It draws from the third</w:t>
      </w:r>
      <w:r>
        <w:rPr>
          <w:rFonts w:ascii="Century Gothic" w:hAnsi="Century Gothic"/>
          <w:sz w:val="18"/>
          <w:szCs w:val="18"/>
        </w:rPr>
        <w:t xml:space="preserve"> </w:t>
      </w:r>
      <w:r w:rsidRPr="007763D7">
        <w:rPr>
          <w:rFonts w:ascii="Century Gothic" w:hAnsi="Century Gothic"/>
          <w:sz w:val="18"/>
          <w:szCs w:val="18"/>
        </w:rPr>
        <w:t>chapter of my thesis which, as a whole, argues for commonplacing to be considered alongside</w:t>
      </w:r>
      <w:r>
        <w:rPr>
          <w:rFonts w:ascii="Century Gothic" w:hAnsi="Century Gothic"/>
          <w:sz w:val="18"/>
          <w:szCs w:val="18"/>
        </w:rPr>
        <w:t xml:space="preserve"> </w:t>
      </w:r>
      <w:r w:rsidRPr="007763D7">
        <w:rPr>
          <w:rFonts w:ascii="Century Gothic" w:hAnsi="Century Gothic"/>
          <w:sz w:val="18"/>
          <w:szCs w:val="18"/>
        </w:rPr>
        <w:t>care and healing as a form of ‘body-work’ (Fissell, 2008). Here, I specifically attend to Dalton to</w:t>
      </w:r>
      <w:r>
        <w:rPr>
          <w:rFonts w:ascii="Century Gothic" w:hAnsi="Century Gothic"/>
          <w:sz w:val="18"/>
          <w:szCs w:val="18"/>
        </w:rPr>
        <w:t xml:space="preserve"> </w:t>
      </w:r>
      <w:r w:rsidRPr="007763D7">
        <w:rPr>
          <w:rFonts w:ascii="Century Gothic" w:hAnsi="Century Gothic"/>
          <w:sz w:val="18"/>
          <w:szCs w:val="18"/>
        </w:rPr>
        <w:t>suggest that ‘the body’ is a crucial lens through which historians can begin to move beyond the</w:t>
      </w:r>
      <w:r>
        <w:rPr>
          <w:rFonts w:ascii="Century Gothic" w:hAnsi="Century Gothic"/>
          <w:sz w:val="18"/>
          <w:szCs w:val="18"/>
        </w:rPr>
        <w:t xml:space="preserve"> </w:t>
      </w:r>
      <w:r w:rsidRPr="007763D7">
        <w:rPr>
          <w:rFonts w:ascii="Century Gothic" w:hAnsi="Century Gothic"/>
          <w:sz w:val="18"/>
          <w:szCs w:val="18"/>
        </w:rPr>
        <w:t>epistemic concerns which continues to dominate commonplacing scholarship (e.g. Vine, 2019;</w:t>
      </w:r>
      <w:r>
        <w:rPr>
          <w:rFonts w:ascii="Century Gothic" w:hAnsi="Century Gothic"/>
          <w:sz w:val="18"/>
          <w:szCs w:val="18"/>
        </w:rPr>
        <w:t xml:space="preserve"> </w:t>
      </w:r>
      <w:r w:rsidRPr="007763D7">
        <w:rPr>
          <w:rFonts w:ascii="Century Gothic" w:hAnsi="Century Gothic"/>
          <w:sz w:val="18"/>
          <w:szCs w:val="18"/>
        </w:rPr>
        <w:t>Cevolini, 2016). Speaking to recent work in the embodied histories of reading and writing (e.g.</w:t>
      </w:r>
      <w:r>
        <w:rPr>
          <w:rFonts w:ascii="Century Gothic" w:hAnsi="Century Gothic"/>
          <w:sz w:val="18"/>
          <w:szCs w:val="18"/>
        </w:rPr>
        <w:t xml:space="preserve"> </w:t>
      </w:r>
      <w:r w:rsidRPr="007763D7">
        <w:rPr>
          <w:rFonts w:ascii="Century Gothic" w:hAnsi="Century Gothic"/>
          <w:sz w:val="18"/>
          <w:szCs w:val="18"/>
        </w:rPr>
        <w:t>Hannan, 2016; Grafton, 2020), this paper offers a refreshing take and new case study for</w:t>
      </w:r>
      <w:r>
        <w:rPr>
          <w:rFonts w:ascii="Century Gothic" w:hAnsi="Century Gothic"/>
          <w:sz w:val="18"/>
          <w:szCs w:val="18"/>
        </w:rPr>
        <w:t xml:space="preserve"> </w:t>
      </w:r>
      <w:r w:rsidRPr="007763D7">
        <w:rPr>
          <w:rFonts w:ascii="Century Gothic" w:hAnsi="Century Gothic"/>
          <w:sz w:val="18"/>
          <w:szCs w:val="18"/>
        </w:rPr>
        <w:t>commonplacing as an embodied, environmentally-situated act.</w:t>
      </w:r>
    </w:p>
    <w:p w14:paraId="34A1F12F" w14:textId="77777777" w:rsidR="00C70EBF" w:rsidRDefault="00C70EBF" w:rsidP="00AF774A">
      <w:pPr>
        <w:spacing w:after="240" w:line="360" w:lineRule="auto"/>
        <w:rPr>
          <w:rFonts w:ascii="Century Gothic" w:hAnsi="Century Gothic"/>
          <w:sz w:val="18"/>
          <w:szCs w:val="18"/>
        </w:rPr>
      </w:pPr>
    </w:p>
    <w:p w14:paraId="276D942F" w14:textId="77777777" w:rsidR="00C70EBF" w:rsidRPr="00C70EBF" w:rsidRDefault="00C70EBF" w:rsidP="00AF774A">
      <w:pPr>
        <w:spacing w:after="240" w:line="360" w:lineRule="auto"/>
        <w:jc w:val="center"/>
        <w:rPr>
          <w:rFonts w:ascii="Century Gothic" w:hAnsi="Century Gothic"/>
          <w:b/>
          <w:bCs/>
          <w:i/>
          <w:iCs/>
          <w:sz w:val="18"/>
          <w:szCs w:val="18"/>
        </w:rPr>
      </w:pPr>
      <w:r w:rsidRPr="00C70EBF">
        <w:rPr>
          <w:rFonts w:ascii="Century Gothic" w:hAnsi="Century Gothic"/>
          <w:b/>
          <w:bCs/>
          <w:i/>
          <w:iCs/>
          <w:sz w:val="18"/>
          <w:szCs w:val="18"/>
        </w:rPr>
        <w:t>Panel 5: Medicine, Health, and Disability</w:t>
      </w:r>
    </w:p>
    <w:p w14:paraId="292AD1BD" w14:textId="6D2B3A47" w:rsidR="00C70EBF" w:rsidRPr="00AF774A" w:rsidRDefault="00C70EBF" w:rsidP="00AF774A">
      <w:pPr>
        <w:spacing w:after="240" w:line="360" w:lineRule="auto"/>
        <w:rPr>
          <w:rFonts w:ascii="Century Gothic" w:hAnsi="Century Gothic"/>
          <w:b/>
          <w:bCs/>
          <w:sz w:val="18"/>
          <w:szCs w:val="18"/>
        </w:rPr>
      </w:pPr>
      <w:r w:rsidRPr="00AF774A">
        <w:rPr>
          <w:rFonts w:ascii="Century Gothic" w:hAnsi="Century Gothic"/>
          <w:b/>
          <w:bCs/>
          <w:sz w:val="18"/>
          <w:szCs w:val="18"/>
        </w:rPr>
        <w:t>'Short Tempers: Angry Women in Early Modern Medicine' (Hannah Cotteril, Royal Holloway University)</w:t>
      </w:r>
    </w:p>
    <w:p w14:paraId="2F62AEAA" w14:textId="2E5E538D" w:rsidR="00AF774A" w:rsidRPr="00AF774A" w:rsidRDefault="00AF774A" w:rsidP="00AF774A">
      <w:pPr>
        <w:spacing w:after="240" w:line="360" w:lineRule="auto"/>
        <w:rPr>
          <w:rFonts w:ascii="Century Gothic" w:hAnsi="Century Gothic"/>
          <w:sz w:val="18"/>
          <w:szCs w:val="18"/>
        </w:rPr>
      </w:pPr>
      <w:r w:rsidRPr="00AF774A">
        <w:rPr>
          <w:rFonts w:ascii="Century Gothic" w:hAnsi="Century Gothic"/>
          <w:sz w:val="18"/>
          <w:szCs w:val="18"/>
        </w:rPr>
        <w:t xml:space="preserve">In 1615, Helkiah Crooke addressed a ‘notable controversie’ in his theory that women have colder humoral bodies than men. This controversy was female anger. Crooke addresses hiscontemporaries’ perception that women are often angrier than men, which some believe to be a sign of a hotter humoral temperament, by distinguishing masculine from feminine anger. Women’s anger is apparently temporally different: soon incited, but also soon appeased. It is also caused by trivial, petty reasons as opposed to men’s supposedly more honourable anger. Crooke differs female anger from the natural hot temper of men by classifying female anger as a ‘disease of a weak mind which cannot </w:t>
      </w:r>
      <w:r w:rsidRPr="00AF774A">
        <w:rPr>
          <w:rFonts w:ascii="Century Gothic" w:hAnsi="Century Gothic"/>
          <w:sz w:val="18"/>
          <w:szCs w:val="18"/>
        </w:rPr>
        <w:lastRenderedPageBreak/>
        <w:t>moderate itself’, stemming from a colder body which is more susceptible to changes. According to writers like Crooke, women’s anger is always untimely, naturally unnatural and lacking self-control.</w:t>
      </w:r>
    </w:p>
    <w:p w14:paraId="76668A3A" w14:textId="56D1BAEB" w:rsidR="00AF774A" w:rsidRPr="00C70EBF" w:rsidRDefault="00AF774A" w:rsidP="00AF774A">
      <w:pPr>
        <w:spacing w:after="240" w:line="360" w:lineRule="auto"/>
        <w:rPr>
          <w:rFonts w:ascii="Century Gothic" w:hAnsi="Century Gothic"/>
          <w:sz w:val="18"/>
          <w:szCs w:val="18"/>
        </w:rPr>
      </w:pPr>
      <w:r w:rsidRPr="00AF774A">
        <w:rPr>
          <w:rFonts w:ascii="Century Gothic" w:hAnsi="Century Gothic"/>
          <w:sz w:val="18"/>
          <w:szCs w:val="18"/>
        </w:rPr>
        <w:t>My paper explores how anger was central to a construction of a gender binary in early modern medicine but also that this binary was inherently unstable and full of internal contradictions. I explore how women’s anger was constructed through a collection of linguistic oppositions, which sheds light on the significance of emotional behaviour to early modern gender construction.</w:t>
      </w:r>
    </w:p>
    <w:p w14:paraId="7E504A4C" w14:textId="254ACED2" w:rsidR="00C70EBF" w:rsidRPr="006C7B19" w:rsidRDefault="00C70EBF" w:rsidP="00AF774A">
      <w:pPr>
        <w:spacing w:after="240" w:line="360" w:lineRule="auto"/>
        <w:rPr>
          <w:rFonts w:ascii="Century Gothic" w:hAnsi="Century Gothic"/>
          <w:b/>
          <w:bCs/>
          <w:sz w:val="18"/>
          <w:szCs w:val="18"/>
        </w:rPr>
      </w:pPr>
      <w:r w:rsidRPr="006C7B19">
        <w:rPr>
          <w:rFonts w:ascii="Century Gothic" w:hAnsi="Century Gothic"/>
          <w:b/>
          <w:bCs/>
          <w:sz w:val="18"/>
          <w:szCs w:val="18"/>
        </w:rPr>
        <w:t>'“Swelled legs, domestic, healthy”: meanings of health and the problem of recovering enslaved experiences from the nineteenth-century colonial Guyanese archive' (</w:t>
      </w:r>
      <w:r w:rsidR="00140835" w:rsidRPr="006C7B19">
        <w:rPr>
          <w:rFonts w:ascii="Century Gothic" w:hAnsi="Century Gothic"/>
          <w:b/>
          <w:bCs/>
          <w:sz w:val="18"/>
          <w:szCs w:val="18"/>
        </w:rPr>
        <w:t>Toyin</w:t>
      </w:r>
      <w:r w:rsidRPr="006C7B19">
        <w:rPr>
          <w:rFonts w:ascii="Century Gothic" w:hAnsi="Century Gothic"/>
          <w:b/>
          <w:bCs/>
          <w:sz w:val="18"/>
          <w:szCs w:val="18"/>
        </w:rPr>
        <w:t xml:space="preserve"> Akinkunmi, Independent Researcher)</w:t>
      </w:r>
    </w:p>
    <w:p w14:paraId="23069A4E" w14:textId="79DADDDA" w:rsidR="006C7B19" w:rsidRPr="006C7B19" w:rsidRDefault="006C7B19" w:rsidP="006C7B19">
      <w:pPr>
        <w:spacing w:after="240" w:line="360" w:lineRule="auto"/>
        <w:rPr>
          <w:rFonts w:ascii="Century Gothic" w:hAnsi="Century Gothic"/>
          <w:sz w:val="18"/>
          <w:szCs w:val="18"/>
        </w:rPr>
      </w:pPr>
      <w:r w:rsidRPr="006C7B19">
        <w:rPr>
          <w:rFonts w:ascii="Century Gothic" w:hAnsi="Century Gothic"/>
          <w:sz w:val="18"/>
          <w:szCs w:val="18"/>
        </w:rPr>
        <w:t>Enslaved people routinely experienced illness and injury – nevertheless, recovering evidence of enslaved people’s own meanings and experiences of their bodies is difficult. Scholars working within the growing body of literature on slavery’s afterlives (the continuation of the slave condition post-emancipation) can argue that full recovery of enslaved life is impossible, because the archive itself is a collection of their deaths. </w:t>
      </w:r>
    </w:p>
    <w:p w14:paraId="5A4CBF32" w14:textId="66B12340" w:rsidR="006C7B19" w:rsidRPr="006C7B19" w:rsidRDefault="006C7B19" w:rsidP="006C7B19">
      <w:pPr>
        <w:spacing w:after="240" w:line="360" w:lineRule="auto"/>
        <w:rPr>
          <w:rFonts w:ascii="Century Gothic" w:hAnsi="Century Gothic"/>
          <w:sz w:val="18"/>
          <w:szCs w:val="18"/>
        </w:rPr>
      </w:pPr>
      <w:r w:rsidRPr="006C7B19">
        <w:rPr>
          <w:rFonts w:ascii="Century Gothic" w:hAnsi="Century Gothic"/>
          <w:sz w:val="18"/>
          <w:szCs w:val="18"/>
        </w:rPr>
        <w:t>This paper explores the problem of recovery by interrogating a relatively “open” archive. Unusually for an Anglophone Caribbean colony, the Guyanese colonial archive retains the enslaved’s third- and sometimes first-person legal testimony. I analyse complaints enslaved people made to the colonial Protector of Slaves between 1819 and 1834, alongside missionary diaries and travel writings.</w:t>
      </w:r>
    </w:p>
    <w:p w14:paraId="435664DD" w14:textId="34A244CA" w:rsidR="00C70EBF" w:rsidRPr="00C70EBF" w:rsidRDefault="006C7B19" w:rsidP="00AF774A">
      <w:pPr>
        <w:spacing w:after="240" w:line="360" w:lineRule="auto"/>
        <w:rPr>
          <w:rFonts w:ascii="Century Gothic" w:hAnsi="Century Gothic"/>
          <w:sz w:val="18"/>
          <w:szCs w:val="18"/>
        </w:rPr>
      </w:pPr>
      <w:r w:rsidRPr="006C7B19">
        <w:rPr>
          <w:rFonts w:ascii="Century Gothic" w:hAnsi="Century Gothic"/>
          <w:sz w:val="18"/>
          <w:szCs w:val="18"/>
        </w:rPr>
        <w:t>This paper finds that plantation and colonial officials often used enslaved people’s testimony of ill health to justify denial of healthcare. These officials typically asserted that the enslaved person was completely healthy, even when officials recorded evidence of ill health. The implicit assertion was that the enslaved body’s natural condition was ruin. This veil of bodily ruin means that enslaved people can appear in the archive in a superposition of being simultaneously completely healthy </w:t>
      </w:r>
      <w:r w:rsidRPr="006C7B19">
        <w:rPr>
          <w:rFonts w:ascii="Century Gothic" w:hAnsi="Century Gothic"/>
          <w:i/>
          <w:iCs/>
          <w:sz w:val="18"/>
          <w:szCs w:val="18"/>
        </w:rPr>
        <w:t>and </w:t>
      </w:r>
      <w:r w:rsidRPr="006C7B19">
        <w:rPr>
          <w:rFonts w:ascii="Century Gothic" w:hAnsi="Century Gothic"/>
          <w:sz w:val="18"/>
          <w:szCs w:val="18"/>
        </w:rPr>
        <w:t>completely unhealthy, revealing a new dimension to the problem of recovery.</w:t>
      </w:r>
    </w:p>
    <w:p w14:paraId="3BCB8996" w14:textId="6774B4BC" w:rsidR="00C70EBF" w:rsidRPr="00AF774A" w:rsidRDefault="00C70EBF" w:rsidP="00AF774A">
      <w:pPr>
        <w:spacing w:after="240" w:line="360" w:lineRule="auto"/>
        <w:rPr>
          <w:rFonts w:ascii="Century Gothic" w:hAnsi="Century Gothic"/>
          <w:b/>
          <w:bCs/>
          <w:sz w:val="18"/>
          <w:szCs w:val="18"/>
        </w:rPr>
      </w:pPr>
      <w:r w:rsidRPr="00AF774A">
        <w:rPr>
          <w:rFonts w:ascii="Century Gothic" w:hAnsi="Century Gothic"/>
          <w:b/>
          <w:bCs/>
          <w:sz w:val="18"/>
          <w:szCs w:val="18"/>
        </w:rPr>
        <w:t>'Visible and Invisible Bodies: Disability, Medicalisation, and the Negotiation of Self in the Eighteenth-Century Country House' (Ruby Rutter, University of Manchester)</w:t>
      </w:r>
    </w:p>
    <w:p w14:paraId="7C4CE608" w14:textId="1364057A" w:rsidR="00AF774A" w:rsidRPr="00AF774A" w:rsidRDefault="00AF774A" w:rsidP="00AF774A">
      <w:pPr>
        <w:spacing w:after="240" w:line="360" w:lineRule="auto"/>
        <w:rPr>
          <w:rFonts w:ascii="Century Gothic" w:hAnsi="Century Gothic"/>
          <w:sz w:val="18"/>
          <w:szCs w:val="18"/>
        </w:rPr>
      </w:pPr>
      <w:r w:rsidRPr="00AF774A">
        <w:rPr>
          <w:rFonts w:ascii="Century Gothic" w:hAnsi="Century Gothic"/>
          <w:sz w:val="18"/>
          <w:szCs w:val="18"/>
        </w:rPr>
        <w:t>This paper examines how elite women negotiated the social visibility of their bodies in the</w:t>
      </w:r>
      <w:r>
        <w:rPr>
          <w:rFonts w:ascii="Century Gothic" w:hAnsi="Century Gothic"/>
          <w:sz w:val="18"/>
          <w:szCs w:val="18"/>
        </w:rPr>
        <w:t xml:space="preserve"> </w:t>
      </w:r>
      <w:r w:rsidRPr="00AF774A">
        <w:rPr>
          <w:rFonts w:ascii="Century Gothic" w:hAnsi="Century Gothic"/>
          <w:sz w:val="18"/>
          <w:szCs w:val="18"/>
        </w:rPr>
        <w:t>eighteenth-century country house through the contrasting experiences of Charlotte Winn</w:t>
      </w:r>
      <w:r>
        <w:rPr>
          <w:rFonts w:ascii="Century Gothic" w:hAnsi="Century Gothic"/>
          <w:sz w:val="18"/>
          <w:szCs w:val="18"/>
        </w:rPr>
        <w:t xml:space="preserve"> </w:t>
      </w:r>
      <w:r w:rsidRPr="00AF774A">
        <w:rPr>
          <w:rFonts w:ascii="Century Gothic" w:hAnsi="Century Gothic"/>
          <w:sz w:val="18"/>
          <w:szCs w:val="18"/>
        </w:rPr>
        <w:t>(1738–1798) and Cecilia Strickland (1741–1814). It argues that illness and disability were</w:t>
      </w:r>
      <w:r>
        <w:rPr>
          <w:rFonts w:ascii="Century Gothic" w:hAnsi="Century Gothic"/>
          <w:sz w:val="18"/>
          <w:szCs w:val="18"/>
        </w:rPr>
        <w:t xml:space="preserve"> </w:t>
      </w:r>
      <w:r w:rsidRPr="00AF774A">
        <w:rPr>
          <w:rFonts w:ascii="Century Gothic" w:hAnsi="Century Gothic"/>
          <w:sz w:val="18"/>
          <w:szCs w:val="18"/>
        </w:rPr>
        <w:t>not only physiological conditions, but sites of tension between bodily visibility, social</w:t>
      </w:r>
    </w:p>
    <w:p w14:paraId="2133CA05" w14:textId="77777777" w:rsidR="00AF774A" w:rsidRDefault="00AF774A" w:rsidP="00AF774A">
      <w:pPr>
        <w:spacing w:after="240" w:line="360" w:lineRule="auto"/>
        <w:rPr>
          <w:rFonts w:ascii="Century Gothic" w:hAnsi="Century Gothic"/>
          <w:sz w:val="18"/>
          <w:szCs w:val="18"/>
        </w:rPr>
      </w:pPr>
      <w:r w:rsidRPr="00AF774A">
        <w:rPr>
          <w:rFonts w:ascii="Century Gothic" w:hAnsi="Century Gothic"/>
          <w:sz w:val="18"/>
          <w:szCs w:val="18"/>
        </w:rPr>
        <w:t>legibility, and personal control, shaped by women’s positions within the life cycle.</w:t>
      </w:r>
    </w:p>
    <w:p w14:paraId="0C59827F" w14:textId="77777777" w:rsidR="00AF774A" w:rsidRDefault="00AF774A" w:rsidP="00AF774A">
      <w:pPr>
        <w:spacing w:after="240" w:line="360" w:lineRule="auto"/>
        <w:rPr>
          <w:rFonts w:ascii="Century Gothic" w:hAnsi="Century Gothic"/>
          <w:sz w:val="18"/>
          <w:szCs w:val="18"/>
        </w:rPr>
      </w:pPr>
      <w:r w:rsidRPr="00AF774A">
        <w:rPr>
          <w:rFonts w:ascii="Century Gothic" w:hAnsi="Century Gothic"/>
          <w:sz w:val="18"/>
          <w:szCs w:val="18"/>
        </w:rPr>
        <w:t>For Charlotte—an unmarried second daughter—proposed medical interventions</w:t>
      </w:r>
      <w:r>
        <w:rPr>
          <w:rFonts w:ascii="Century Gothic" w:hAnsi="Century Gothic"/>
          <w:sz w:val="18"/>
          <w:szCs w:val="18"/>
        </w:rPr>
        <w:t xml:space="preserve"> </w:t>
      </w:r>
      <w:r w:rsidRPr="00AF774A">
        <w:rPr>
          <w:rFonts w:ascii="Century Gothic" w:hAnsi="Century Gothic"/>
          <w:sz w:val="18"/>
          <w:szCs w:val="18"/>
        </w:rPr>
        <w:t>threatened to render her condition permanently visible, transforming her body into a</w:t>
      </w:r>
      <w:r>
        <w:rPr>
          <w:rFonts w:ascii="Century Gothic" w:hAnsi="Century Gothic"/>
          <w:sz w:val="18"/>
          <w:szCs w:val="18"/>
        </w:rPr>
        <w:t xml:space="preserve"> </w:t>
      </w:r>
      <w:r w:rsidRPr="00AF774A">
        <w:rPr>
          <w:rFonts w:ascii="Century Gothic" w:hAnsi="Century Gothic"/>
          <w:sz w:val="18"/>
          <w:szCs w:val="18"/>
        </w:rPr>
        <w:t>spectacle that risked undermining her femininity, sociability, and marital prospects. Her</w:t>
      </w:r>
      <w:r>
        <w:rPr>
          <w:rFonts w:ascii="Century Gothic" w:hAnsi="Century Gothic"/>
          <w:sz w:val="18"/>
          <w:szCs w:val="18"/>
        </w:rPr>
        <w:t xml:space="preserve"> </w:t>
      </w:r>
      <w:r w:rsidRPr="00AF774A">
        <w:rPr>
          <w:rFonts w:ascii="Century Gothic" w:hAnsi="Century Gothic"/>
          <w:sz w:val="18"/>
          <w:szCs w:val="18"/>
        </w:rPr>
        <w:t>refusal of treatment reveals the extent to which the legibility of the female body was</w:t>
      </w:r>
      <w:r>
        <w:rPr>
          <w:rFonts w:ascii="Century Gothic" w:hAnsi="Century Gothic"/>
          <w:sz w:val="18"/>
          <w:szCs w:val="18"/>
        </w:rPr>
        <w:t xml:space="preserve"> </w:t>
      </w:r>
      <w:r w:rsidRPr="00AF774A">
        <w:rPr>
          <w:rFonts w:ascii="Century Gothic" w:hAnsi="Century Gothic"/>
          <w:sz w:val="18"/>
          <w:szCs w:val="18"/>
        </w:rPr>
        <w:t>bound to expectations of beauty, propriety, and future potential. By contrast, Cecilia, as</w:t>
      </w:r>
      <w:r>
        <w:rPr>
          <w:rFonts w:ascii="Century Gothic" w:hAnsi="Century Gothic"/>
          <w:sz w:val="18"/>
          <w:szCs w:val="18"/>
        </w:rPr>
        <w:t xml:space="preserve"> </w:t>
      </w:r>
      <w:r w:rsidRPr="00AF774A">
        <w:rPr>
          <w:rFonts w:ascii="Century Gothic" w:hAnsi="Century Gothic"/>
          <w:sz w:val="18"/>
          <w:szCs w:val="18"/>
        </w:rPr>
        <w:t>a wife and mother who had secured her dynastic role, navigated paralysis from a</w:t>
      </w:r>
      <w:r>
        <w:rPr>
          <w:rFonts w:ascii="Century Gothic" w:hAnsi="Century Gothic"/>
          <w:sz w:val="18"/>
          <w:szCs w:val="18"/>
        </w:rPr>
        <w:t xml:space="preserve"> </w:t>
      </w:r>
      <w:r w:rsidRPr="00AF774A">
        <w:rPr>
          <w:rFonts w:ascii="Century Gothic" w:hAnsi="Century Gothic"/>
          <w:sz w:val="18"/>
          <w:szCs w:val="18"/>
        </w:rPr>
        <w:t>markedly different position. Rather than resisting her condition, she adapted to it,</w:t>
      </w:r>
      <w:r>
        <w:rPr>
          <w:rFonts w:ascii="Century Gothic" w:hAnsi="Century Gothic"/>
          <w:sz w:val="18"/>
          <w:szCs w:val="18"/>
        </w:rPr>
        <w:t xml:space="preserve"> </w:t>
      </w:r>
      <w:r w:rsidRPr="00AF774A">
        <w:rPr>
          <w:rFonts w:ascii="Century Gothic" w:hAnsi="Century Gothic"/>
          <w:sz w:val="18"/>
          <w:szCs w:val="18"/>
        </w:rPr>
        <w:t>incorporating an altered chair into her daily life and articulating a sense of comfort and</w:t>
      </w:r>
      <w:r>
        <w:rPr>
          <w:rFonts w:ascii="Century Gothic" w:hAnsi="Century Gothic"/>
          <w:sz w:val="18"/>
          <w:szCs w:val="18"/>
        </w:rPr>
        <w:t xml:space="preserve"> </w:t>
      </w:r>
      <w:r w:rsidRPr="00AF774A">
        <w:rPr>
          <w:rFonts w:ascii="Century Gothic" w:hAnsi="Century Gothic"/>
          <w:sz w:val="18"/>
          <w:szCs w:val="18"/>
        </w:rPr>
        <w:t>stability within her domestic environment. Her experience complicates narratives of</w:t>
      </w:r>
      <w:r>
        <w:rPr>
          <w:rFonts w:ascii="Century Gothic" w:hAnsi="Century Gothic"/>
          <w:sz w:val="18"/>
          <w:szCs w:val="18"/>
        </w:rPr>
        <w:t xml:space="preserve"> </w:t>
      </w:r>
      <w:r w:rsidRPr="00AF774A">
        <w:rPr>
          <w:rFonts w:ascii="Century Gothic" w:hAnsi="Century Gothic"/>
          <w:sz w:val="18"/>
          <w:szCs w:val="18"/>
        </w:rPr>
        <w:t>disability as purely disruptive, instead highlighting its potential to generate alternative</w:t>
      </w:r>
      <w:r>
        <w:rPr>
          <w:rFonts w:ascii="Century Gothic" w:hAnsi="Century Gothic"/>
          <w:sz w:val="18"/>
          <w:szCs w:val="18"/>
        </w:rPr>
        <w:t xml:space="preserve"> </w:t>
      </w:r>
      <w:r w:rsidRPr="00AF774A">
        <w:rPr>
          <w:rFonts w:ascii="Century Gothic" w:hAnsi="Century Gothic"/>
          <w:sz w:val="18"/>
          <w:szCs w:val="18"/>
        </w:rPr>
        <w:t>forms of agency grounded in material and spatial adaptation.</w:t>
      </w:r>
    </w:p>
    <w:p w14:paraId="262BB53A" w14:textId="5035BA7F" w:rsidR="00C70EBF" w:rsidRDefault="00AF774A" w:rsidP="00AF774A">
      <w:pPr>
        <w:spacing w:after="240" w:line="360" w:lineRule="auto"/>
        <w:rPr>
          <w:rFonts w:ascii="Century Gothic" w:hAnsi="Century Gothic"/>
          <w:sz w:val="18"/>
          <w:szCs w:val="18"/>
        </w:rPr>
      </w:pPr>
      <w:r w:rsidRPr="00AF774A">
        <w:rPr>
          <w:rFonts w:ascii="Century Gothic" w:hAnsi="Century Gothic"/>
          <w:sz w:val="18"/>
          <w:szCs w:val="18"/>
        </w:rPr>
        <w:t>By placing these women in dialogue, this paper reframes the eighteenth-century body as</w:t>
      </w:r>
      <w:r>
        <w:rPr>
          <w:rFonts w:ascii="Century Gothic" w:hAnsi="Century Gothic"/>
          <w:sz w:val="18"/>
          <w:szCs w:val="18"/>
        </w:rPr>
        <w:t xml:space="preserve"> </w:t>
      </w:r>
      <w:r w:rsidRPr="00AF774A">
        <w:rPr>
          <w:rFonts w:ascii="Century Gothic" w:hAnsi="Century Gothic"/>
          <w:sz w:val="18"/>
          <w:szCs w:val="18"/>
        </w:rPr>
        <w:t>contingent and socially mediated, shaped as much by life stage and status as by physical</w:t>
      </w:r>
      <w:r>
        <w:rPr>
          <w:rFonts w:ascii="Century Gothic" w:hAnsi="Century Gothic"/>
          <w:sz w:val="18"/>
          <w:szCs w:val="18"/>
        </w:rPr>
        <w:t xml:space="preserve"> </w:t>
      </w:r>
      <w:r w:rsidRPr="00AF774A">
        <w:rPr>
          <w:rFonts w:ascii="Century Gothic" w:hAnsi="Century Gothic"/>
          <w:sz w:val="18"/>
          <w:szCs w:val="18"/>
        </w:rPr>
        <w:t>condition.</w:t>
      </w:r>
    </w:p>
    <w:p w14:paraId="55999D4F" w14:textId="2F0D2406" w:rsidR="00C70EBF" w:rsidRPr="006C7B19" w:rsidRDefault="00C70EBF" w:rsidP="00AF774A">
      <w:pPr>
        <w:spacing w:after="240" w:line="360" w:lineRule="auto"/>
        <w:rPr>
          <w:rFonts w:ascii="Century Gothic" w:hAnsi="Century Gothic"/>
          <w:b/>
          <w:bCs/>
          <w:sz w:val="18"/>
          <w:szCs w:val="18"/>
        </w:rPr>
      </w:pPr>
      <w:r w:rsidRPr="006C7B19">
        <w:rPr>
          <w:rFonts w:ascii="Century Gothic" w:hAnsi="Century Gothic"/>
          <w:b/>
          <w:bCs/>
          <w:sz w:val="18"/>
          <w:szCs w:val="18"/>
        </w:rPr>
        <w:lastRenderedPageBreak/>
        <w:t>'A monster of ‘his body’? Fathers in British early modern ‘monstrous’ birth narratives' (Ella Sheddick, UCL and Wellcome Collection)</w:t>
      </w:r>
    </w:p>
    <w:p w14:paraId="3B57A510" w14:textId="65EF8117" w:rsidR="00C70EBF" w:rsidRDefault="007763D7" w:rsidP="00AF774A">
      <w:pPr>
        <w:spacing w:after="240" w:line="360" w:lineRule="auto"/>
        <w:rPr>
          <w:rFonts w:ascii="Century Gothic" w:hAnsi="Century Gothic"/>
          <w:sz w:val="18"/>
          <w:szCs w:val="18"/>
        </w:rPr>
      </w:pPr>
      <w:r w:rsidRPr="007763D7">
        <w:rPr>
          <w:rFonts w:ascii="Century Gothic" w:hAnsi="Century Gothic"/>
          <w:sz w:val="18"/>
          <w:szCs w:val="18"/>
        </w:rPr>
        <w:t>Early modern monstrous births have been intensely examined by historians; monstrous bodies have</w:t>
      </w:r>
      <w:r>
        <w:rPr>
          <w:rFonts w:ascii="Century Gothic" w:hAnsi="Century Gothic"/>
          <w:sz w:val="18"/>
          <w:szCs w:val="18"/>
        </w:rPr>
        <w:t xml:space="preserve"> </w:t>
      </w:r>
      <w:r w:rsidRPr="007763D7">
        <w:rPr>
          <w:rFonts w:ascii="Century Gothic" w:hAnsi="Century Gothic"/>
          <w:sz w:val="18"/>
          <w:szCs w:val="18"/>
        </w:rPr>
        <w:t>been understood as portents, jokes or objects of scientific enquiry. Similarly, the maternal bodies</w:t>
      </w:r>
      <w:r>
        <w:rPr>
          <w:rFonts w:ascii="Century Gothic" w:hAnsi="Century Gothic"/>
          <w:sz w:val="18"/>
          <w:szCs w:val="18"/>
        </w:rPr>
        <w:t xml:space="preserve"> </w:t>
      </w:r>
      <w:r w:rsidRPr="007763D7">
        <w:rPr>
          <w:rFonts w:ascii="Century Gothic" w:hAnsi="Century Gothic"/>
          <w:sz w:val="18"/>
          <w:szCs w:val="18"/>
        </w:rPr>
        <w:t>that produced them have been studied as political metaphors, symbols of reproductive uncertainty,</w:t>
      </w:r>
      <w:r>
        <w:rPr>
          <w:rFonts w:ascii="Century Gothic" w:hAnsi="Century Gothic"/>
          <w:sz w:val="18"/>
          <w:szCs w:val="18"/>
        </w:rPr>
        <w:t xml:space="preserve"> </w:t>
      </w:r>
      <w:r w:rsidRPr="007763D7">
        <w:rPr>
          <w:rFonts w:ascii="Century Gothic" w:hAnsi="Century Gothic"/>
          <w:sz w:val="18"/>
          <w:szCs w:val="18"/>
        </w:rPr>
        <w:t>or victims of God’s wrath. Yet monstrous birth narratives have rarely been examined as stories of the</w:t>
      </w:r>
      <w:r>
        <w:rPr>
          <w:rFonts w:ascii="Century Gothic" w:hAnsi="Century Gothic"/>
          <w:sz w:val="18"/>
          <w:szCs w:val="18"/>
        </w:rPr>
        <w:t xml:space="preserve"> </w:t>
      </w:r>
      <w:r w:rsidRPr="007763D7">
        <w:rPr>
          <w:rFonts w:ascii="Century Gothic" w:hAnsi="Century Gothic"/>
          <w:sz w:val="18"/>
          <w:szCs w:val="18"/>
        </w:rPr>
        <w:t>births of children, embedded in their community contexts. A consequence of this is a</w:t>
      </w:r>
      <w:r>
        <w:rPr>
          <w:rFonts w:ascii="Century Gothic" w:hAnsi="Century Gothic"/>
          <w:sz w:val="18"/>
          <w:szCs w:val="18"/>
        </w:rPr>
        <w:t xml:space="preserve"> </w:t>
      </w:r>
      <w:r w:rsidRPr="007763D7">
        <w:rPr>
          <w:rFonts w:ascii="Century Gothic" w:hAnsi="Century Gothic"/>
          <w:sz w:val="18"/>
          <w:szCs w:val="18"/>
        </w:rPr>
        <w:t>historiographical neglect of the fathers of monstrous children. Within British cheap print accounts of</w:t>
      </w:r>
      <w:r>
        <w:rPr>
          <w:rFonts w:ascii="Century Gothic" w:hAnsi="Century Gothic"/>
          <w:sz w:val="18"/>
          <w:szCs w:val="18"/>
        </w:rPr>
        <w:t xml:space="preserve"> </w:t>
      </w:r>
      <w:r w:rsidRPr="007763D7">
        <w:rPr>
          <w:rFonts w:ascii="Century Gothic" w:hAnsi="Century Gothic"/>
          <w:sz w:val="18"/>
          <w:szCs w:val="18"/>
        </w:rPr>
        <w:t>monstrous births, fathers of monstrous children were often named and shamed. An emphasis on</w:t>
      </w:r>
      <w:r>
        <w:rPr>
          <w:rFonts w:ascii="Century Gothic" w:hAnsi="Century Gothic"/>
          <w:sz w:val="18"/>
          <w:szCs w:val="18"/>
        </w:rPr>
        <w:t xml:space="preserve"> </w:t>
      </w:r>
      <w:r w:rsidRPr="007763D7">
        <w:rPr>
          <w:rFonts w:ascii="Century Gothic" w:hAnsi="Century Gothic"/>
          <w:sz w:val="18"/>
          <w:szCs w:val="18"/>
        </w:rPr>
        <w:t>paternal occupational identities rooted ‘strange and wonderful’ stories in local, rural communities,</w:t>
      </w:r>
      <w:r>
        <w:rPr>
          <w:rFonts w:ascii="Century Gothic" w:hAnsi="Century Gothic"/>
          <w:sz w:val="18"/>
          <w:szCs w:val="18"/>
        </w:rPr>
        <w:t xml:space="preserve"> </w:t>
      </w:r>
      <w:r w:rsidRPr="007763D7">
        <w:rPr>
          <w:rFonts w:ascii="Century Gothic" w:hAnsi="Century Gothic"/>
          <w:sz w:val="18"/>
          <w:szCs w:val="18"/>
        </w:rPr>
        <w:t>enhancing the verifiability of cheap print accounts and intensifying their providential messages. This</w:t>
      </w:r>
      <w:r>
        <w:rPr>
          <w:rFonts w:ascii="Century Gothic" w:hAnsi="Century Gothic"/>
          <w:sz w:val="18"/>
          <w:szCs w:val="18"/>
        </w:rPr>
        <w:t xml:space="preserve"> </w:t>
      </w:r>
      <w:r w:rsidRPr="007763D7">
        <w:rPr>
          <w:rFonts w:ascii="Century Gothic" w:hAnsi="Century Gothic"/>
          <w:sz w:val="18"/>
          <w:szCs w:val="18"/>
        </w:rPr>
        <w:t>paper will argue that the presentation of fathers in monstrous cheap print expressed local anxieties</w:t>
      </w:r>
      <w:r>
        <w:rPr>
          <w:rFonts w:ascii="Century Gothic" w:hAnsi="Century Gothic"/>
          <w:sz w:val="18"/>
          <w:szCs w:val="18"/>
        </w:rPr>
        <w:t xml:space="preserve"> </w:t>
      </w:r>
      <w:r w:rsidRPr="007763D7">
        <w:rPr>
          <w:rFonts w:ascii="Century Gothic" w:hAnsi="Century Gothic"/>
          <w:sz w:val="18"/>
          <w:szCs w:val="18"/>
        </w:rPr>
        <w:t>over the unverifiability of paternity. It will also explore the ways in which monstrous children were</w:t>
      </w:r>
      <w:r>
        <w:rPr>
          <w:rFonts w:ascii="Century Gothic" w:hAnsi="Century Gothic"/>
          <w:sz w:val="18"/>
          <w:szCs w:val="18"/>
        </w:rPr>
        <w:t xml:space="preserve"> </w:t>
      </w:r>
      <w:r w:rsidRPr="007763D7">
        <w:rPr>
          <w:rFonts w:ascii="Century Gothic" w:hAnsi="Century Gothic"/>
          <w:sz w:val="18"/>
          <w:szCs w:val="18"/>
        </w:rPr>
        <w:t>constructed in print as punishments wrecked upon the bodies of lecherous, wasteful or weak fathers</w:t>
      </w:r>
      <w:r>
        <w:rPr>
          <w:rFonts w:ascii="Century Gothic" w:hAnsi="Century Gothic"/>
          <w:sz w:val="18"/>
          <w:szCs w:val="18"/>
        </w:rPr>
        <w:t xml:space="preserve"> </w:t>
      </w:r>
      <w:r w:rsidRPr="007763D7">
        <w:rPr>
          <w:rFonts w:ascii="Century Gothic" w:hAnsi="Century Gothic"/>
          <w:sz w:val="18"/>
          <w:szCs w:val="18"/>
        </w:rPr>
        <w:t>and husbands. Fundamentally, attention to the fathers of monstrous children reminds the historian</w:t>
      </w:r>
      <w:r>
        <w:rPr>
          <w:rFonts w:ascii="Century Gothic" w:hAnsi="Century Gothic"/>
          <w:sz w:val="18"/>
          <w:szCs w:val="18"/>
        </w:rPr>
        <w:t xml:space="preserve"> </w:t>
      </w:r>
      <w:r w:rsidRPr="007763D7">
        <w:rPr>
          <w:rFonts w:ascii="Century Gothic" w:hAnsi="Century Gothic"/>
          <w:sz w:val="18"/>
          <w:szCs w:val="18"/>
        </w:rPr>
        <w:t>that monstrous births were understood as births of children, not just monsters.</w:t>
      </w:r>
    </w:p>
    <w:p w14:paraId="7A8A9B8B" w14:textId="77777777" w:rsidR="007763D7" w:rsidRDefault="007763D7" w:rsidP="00AF774A">
      <w:pPr>
        <w:spacing w:after="240" w:line="360" w:lineRule="auto"/>
        <w:rPr>
          <w:rFonts w:ascii="Century Gothic" w:hAnsi="Century Gothic"/>
          <w:sz w:val="18"/>
          <w:szCs w:val="18"/>
        </w:rPr>
      </w:pPr>
    </w:p>
    <w:p w14:paraId="5D1A8496" w14:textId="77777777" w:rsidR="00C70EBF" w:rsidRPr="00C70EBF" w:rsidRDefault="00C70EBF" w:rsidP="00AF774A">
      <w:pPr>
        <w:spacing w:after="240" w:line="360" w:lineRule="auto"/>
        <w:jc w:val="center"/>
        <w:rPr>
          <w:rFonts w:ascii="Century Gothic" w:hAnsi="Century Gothic"/>
          <w:b/>
          <w:bCs/>
          <w:i/>
          <w:iCs/>
          <w:sz w:val="18"/>
          <w:szCs w:val="18"/>
        </w:rPr>
      </w:pPr>
      <w:r w:rsidRPr="00C70EBF">
        <w:rPr>
          <w:rFonts w:ascii="Century Gothic" w:hAnsi="Century Gothic"/>
          <w:b/>
          <w:bCs/>
          <w:i/>
          <w:iCs/>
          <w:sz w:val="18"/>
          <w:szCs w:val="18"/>
        </w:rPr>
        <w:t>Panel 6: The Reproductive Body</w:t>
      </w:r>
    </w:p>
    <w:p w14:paraId="724D7225" w14:textId="77777777" w:rsidR="00C70EBF" w:rsidRPr="006C7B19" w:rsidRDefault="00C70EBF" w:rsidP="00AF774A">
      <w:pPr>
        <w:spacing w:after="240" w:line="360" w:lineRule="auto"/>
        <w:rPr>
          <w:rFonts w:ascii="Century Gothic" w:hAnsi="Century Gothic"/>
          <w:b/>
          <w:bCs/>
          <w:sz w:val="18"/>
          <w:szCs w:val="18"/>
        </w:rPr>
      </w:pPr>
      <w:r w:rsidRPr="006C7B19">
        <w:rPr>
          <w:rFonts w:ascii="Century Gothic" w:hAnsi="Century Gothic"/>
          <w:b/>
          <w:bCs/>
          <w:sz w:val="18"/>
          <w:szCs w:val="18"/>
        </w:rPr>
        <w:t>'Tu Enfanteras Dans La Joie: Depictions and Discussions of Pregnancy in French Communist Women’s Magazines, 1945-1955’ (Eli Jeannin, QMUL)</w:t>
      </w:r>
      <w:r w:rsidRPr="006C7B19">
        <w:rPr>
          <w:rFonts w:ascii="Century Gothic" w:hAnsi="Century Gothic"/>
          <w:b/>
          <w:bCs/>
          <w:sz w:val="18"/>
          <w:szCs w:val="18"/>
        </w:rPr>
        <w:t xml:space="preserve"> </w:t>
      </w:r>
    </w:p>
    <w:p w14:paraId="27635BF8" w14:textId="3C2D6474" w:rsidR="00C70EBF" w:rsidRDefault="007763D7" w:rsidP="00AF774A">
      <w:pPr>
        <w:spacing w:after="240" w:line="360" w:lineRule="auto"/>
        <w:rPr>
          <w:rFonts w:ascii="Century Gothic" w:hAnsi="Century Gothic"/>
          <w:sz w:val="18"/>
          <w:szCs w:val="18"/>
        </w:rPr>
      </w:pPr>
      <w:r w:rsidRPr="007763D7">
        <w:rPr>
          <w:rFonts w:ascii="Century Gothic" w:hAnsi="Century Gothic"/>
          <w:sz w:val="18"/>
          <w:szCs w:val="18"/>
        </w:rPr>
        <w:t>This paper explores the cultural and civic meaning of pregnancy in postwar France</w:t>
      </w:r>
      <w:r>
        <w:rPr>
          <w:rFonts w:ascii="Century Gothic" w:hAnsi="Century Gothic"/>
          <w:sz w:val="18"/>
          <w:szCs w:val="18"/>
        </w:rPr>
        <w:t xml:space="preserve"> </w:t>
      </w:r>
      <w:r w:rsidRPr="007763D7">
        <w:rPr>
          <w:rFonts w:ascii="Century Gothic" w:hAnsi="Century Gothic"/>
          <w:sz w:val="18"/>
          <w:szCs w:val="18"/>
        </w:rPr>
        <w:t>through the study of the communist magazine Femmes Françaises between 1945 and</w:t>
      </w:r>
      <w:r>
        <w:rPr>
          <w:rFonts w:ascii="Century Gothic" w:hAnsi="Century Gothic"/>
          <w:sz w:val="18"/>
          <w:szCs w:val="18"/>
        </w:rPr>
        <w:t xml:space="preserve"> </w:t>
      </w:r>
      <w:r w:rsidRPr="007763D7">
        <w:rPr>
          <w:rFonts w:ascii="Century Gothic" w:hAnsi="Century Gothic"/>
          <w:sz w:val="18"/>
          <w:szCs w:val="18"/>
        </w:rPr>
        <w:t>1955. Through textual and material analysis of Femmes Françaises, I will show that the</w:t>
      </w:r>
      <w:r>
        <w:rPr>
          <w:rFonts w:ascii="Century Gothic" w:hAnsi="Century Gothic"/>
          <w:sz w:val="18"/>
          <w:szCs w:val="18"/>
        </w:rPr>
        <w:t xml:space="preserve"> </w:t>
      </w:r>
      <w:r w:rsidRPr="007763D7">
        <w:rPr>
          <w:rFonts w:ascii="Century Gothic" w:hAnsi="Century Gothic"/>
          <w:sz w:val="18"/>
          <w:szCs w:val="18"/>
        </w:rPr>
        <w:t>UFF’s depictions of pregnancy reflect the ambiguous nature of women’s citizenship as</w:t>
      </w:r>
      <w:r>
        <w:rPr>
          <w:rFonts w:ascii="Century Gothic" w:hAnsi="Century Gothic"/>
          <w:sz w:val="18"/>
          <w:szCs w:val="18"/>
        </w:rPr>
        <w:t xml:space="preserve"> </w:t>
      </w:r>
      <w:r w:rsidRPr="007763D7">
        <w:rPr>
          <w:rFonts w:ascii="Century Gothic" w:hAnsi="Century Gothic"/>
          <w:sz w:val="18"/>
          <w:szCs w:val="18"/>
        </w:rPr>
        <w:t>mothers: at once hypervisible and invisible. Indeed, while the Femmes Française editors</w:t>
      </w:r>
      <w:r>
        <w:rPr>
          <w:rFonts w:ascii="Century Gothic" w:hAnsi="Century Gothic"/>
          <w:sz w:val="18"/>
          <w:szCs w:val="18"/>
        </w:rPr>
        <w:t xml:space="preserve"> </w:t>
      </w:r>
      <w:r w:rsidRPr="007763D7">
        <w:rPr>
          <w:rFonts w:ascii="Century Gothic" w:hAnsi="Century Gothic"/>
          <w:sz w:val="18"/>
          <w:szCs w:val="18"/>
        </w:rPr>
        <w:t>talked at length about pregnancy, the magazine never depicted a pregnant woman. While</w:t>
      </w:r>
      <w:r>
        <w:rPr>
          <w:rFonts w:ascii="Century Gothic" w:hAnsi="Century Gothic"/>
          <w:sz w:val="18"/>
          <w:szCs w:val="18"/>
        </w:rPr>
        <w:t xml:space="preserve"> </w:t>
      </w:r>
      <w:r w:rsidRPr="007763D7">
        <w:rPr>
          <w:rFonts w:ascii="Century Gothic" w:hAnsi="Century Gothic"/>
          <w:sz w:val="18"/>
          <w:szCs w:val="18"/>
        </w:rPr>
        <w:t>these attributes seem contradictory, I argue that they reflect how France perceived</w:t>
      </w:r>
      <w:r>
        <w:rPr>
          <w:rFonts w:ascii="Century Gothic" w:hAnsi="Century Gothic"/>
          <w:sz w:val="18"/>
          <w:szCs w:val="18"/>
        </w:rPr>
        <w:t xml:space="preserve"> </w:t>
      </w:r>
      <w:r w:rsidRPr="007763D7">
        <w:rPr>
          <w:rFonts w:ascii="Century Gothic" w:hAnsi="Century Gothic"/>
          <w:sz w:val="18"/>
          <w:szCs w:val="18"/>
        </w:rPr>
        <w:t>pregnancy during the postwar era: while pregnancy crowns women as full citizens, this</w:t>
      </w:r>
      <w:r>
        <w:rPr>
          <w:rFonts w:ascii="Century Gothic" w:hAnsi="Century Gothic"/>
          <w:sz w:val="18"/>
          <w:szCs w:val="18"/>
        </w:rPr>
        <w:t xml:space="preserve"> </w:t>
      </w:r>
      <w:r w:rsidRPr="007763D7">
        <w:rPr>
          <w:rFonts w:ascii="Century Gothic" w:hAnsi="Century Gothic"/>
          <w:sz w:val="18"/>
          <w:szCs w:val="18"/>
        </w:rPr>
        <w:t>transmutation needs to remain hidden from public sight. Femmes Française, published</w:t>
      </w:r>
      <w:r>
        <w:rPr>
          <w:rFonts w:ascii="Century Gothic" w:hAnsi="Century Gothic"/>
          <w:sz w:val="18"/>
          <w:szCs w:val="18"/>
        </w:rPr>
        <w:t xml:space="preserve"> </w:t>
      </w:r>
      <w:r w:rsidRPr="007763D7">
        <w:rPr>
          <w:rFonts w:ascii="Century Gothic" w:hAnsi="Century Gothic"/>
          <w:sz w:val="18"/>
          <w:szCs w:val="18"/>
        </w:rPr>
        <w:t>by the Union of French Women (UFF), a women’s close to the Communist Party in the</w:t>
      </w:r>
      <w:r>
        <w:rPr>
          <w:rFonts w:ascii="Century Gothic" w:hAnsi="Century Gothic"/>
          <w:sz w:val="18"/>
          <w:szCs w:val="18"/>
        </w:rPr>
        <w:t xml:space="preserve"> </w:t>
      </w:r>
      <w:r w:rsidRPr="007763D7">
        <w:rPr>
          <w:rFonts w:ascii="Century Gothic" w:hAnsi="Century Gothic"/>
          <w:sz w:val="18"/>
          <w:szCs w:val="18"/>
        </w:rPr>
        <w:t>postwar years who pushed forward a maternalistic agenda. The UFF claimed that</w:t>
      </w:r>
      <w:r>
        <w:rPr>
          <w:rFonts w:ascii="Century Gothic" w:hAnsi="Century Gothic"/>
          <w:sz w:val="18"/>
          <w:szCs w:val="18"/>
        </w:rPr>
        <w:t xml:space="preserve"> </w:t>
      </w:r>
      <w:r w:rsidRPr="007763D7">
        <w:rPr>
          <w:rFonts w:ascii="Century Gothic" w:hAnsi="Century Gothic"/>
          <w:sz w:val="18"/>
          <w:szCs w:val="18"/>
        </w:rPr>
        <w:t>motherhood was a natural stage of women’s lives, and that, as such, women’s citizenship</w:t>
      </w:r>
      <w:r>
        <w:rPr>
          <w:rFonts w:ascii="Century Gothic" w:hAnsi="Century Gothic"/>
          <w:sz w:val="18"/>
          <w:szCs w:val="18"/>
        </w:rPr>
        <w:t xml:space="preserve"> </w:t>
      </w:r>
      <w:r w:rsidRPr="007763D7">
        <w:rPr>
          <w:rFonts w:ascii="Century Gothic" w:hAnsi="Century Gothic"/>
          <w:sz w:val="18"/>
          <w:szCs w:val="18"/>
        </w:rPr>
        <w:t>should revolve around their social role as mothers. Historical works on the UFF reflect on</w:t>
      </w:r>
      <w:r>
        <w:rPr>
          <w:rFonts w:ascii="Century Gothic" w:hAnsi="Century Gothic"/>
          <w:sz w:val="18"/>
          <w:szCs w:val="18"/>
        </w:rPr>
        <w:t xml:space="preserve"> </w:t>
      </w:r>
      <w:r w:rsidRPr="007763D7">
        <w:rPr>
          <w:rFonts w:ascii="Century Gothic" w:hAnsi="Century Gothic"/>
          <w:sz w:val="18"/>
          <w:szCs w:val="18"/>
        </w:rPr>
        <w:t>its maternalism, however, like in most research on mothering and citizenship, the UFF’s</w:t>
      </w:r>
      <w:r>
        <w:rPr>
          <w:rFonts w:ascii="Century Gothic" w:hAnsi="Century Gothic"/>
          <w:sz w:val="18"/>
          <w:szCs w:val="18"/>
        </w:rPr>
        <w:t xml:space="preserve"> </w:t>
      </w:r>
      <w:r w:rsidRPr="007763D7">
        <w:rPr>
          <w:rFonts w:ascii="Century Gothic" w:hAnsi="Century Gothic"/>
          <w:sz w:val="18"/>
          <w:szCs w:val="18"/>
        </w:rPr>
        <w:t>attitudes towards pregnancy is often a forgotten topic, which reflects historic taboos and</w:t>
      </w:r>
      <w:r>
        <w:rPr>
          <w:rFonts w:ascii="Century Gothic" w:hAnsi="Century Gothic"/>
          <w:sz w:val="18"/>
          <w:szCs w:val="18"/>
        </w:rPr>
        <w:t xml:space="preserve"> </w:t>
      </w:r>
      <w:r w:rsidRPr="007763D7">
        <w:rPr>
          <w:rFonts w:ascii="Century Gothic" w:hAnsi="Century Gothic"/>
          <w:sz w:val="18"/>
          <w:szCs w:val="18"/>
        </w:rPr>
        <w:t>ambiguities around pregnancy and the visibility of women in public spheres.</w:t>
      </w:r>
    </w:p>
    <w:p w14:paraId="02DFB1D1" w14:textId="29CC0213" w:rsidR="00C70EBF" w:rsidRPr="006C7B19" w:rsidRDefault="00C70EBF" w:rsidP="00AF774A">
      <w:pPr>
        <w:spacing w:after="240" w:line="360" w:lineRule="auto"/>
        <w:rPr>
          <w:rFonts w:ascii="Century Gothic" w:hAnsi="Century Gothic"/>
          <w:b/>
          <w:bCs/>
          <w:sz w:val="18"/>
          <w:szCs w:val="18"/>
        </w:rPr>
      </w:pPr>
      <w:r w:rsidRPr="006C7B19">
        <w:rPr>
          <w:rFonts w:ascii="Century Gothic" w:hAnsi="Century Gothic"/>
          <w:b/>
          <w:bCs/>
          <w:sz w:val="18"/>
          <w:szCs w:val="18"/>
        </w:rPr>
        <w:t>'Sex education, ‘family planning’ and body knowledge for young women in late twentieth century Ireland' (Maire Hussey, Trinity College Dublin)</w:t>
      </w:r>
    </w:p>
    <w:p w14:paraId="3077CC21" w14:textId="4395B2CF" w:rsidR="00C70EBF" w:rsidRDefault="00254A2C" w:rsidP="00AF774A">
      <w:pPr>
        <w:spacing w:after="240" w:line="360" w:lineRule="auto"/>
        <w:rPr>
          <w:rFonts w:ascii="Century Gothic" w:hAnsi="Century Gothic"/>
          <w:sz w:val="18"/>
          <w:szCs w:val="18"/>
        </w:rPr>
      </w:pPr>
      <w:r w:rsidRPr="00254A2C">
        <w:rPr>
          <w:rFonts w:ascii="Century Gothic" w:hAnsi="Century Gothic"/>
          <w:sz w:val="18"/>
          <w:szCs w:val="18"/>
        </w:rPr>
        <w:t>Contraception, abortion and the reproductive female body were key sites of discourse in the Republic</w:t>
      </w:r>
      <w:r>
        <w:rPr>
          <w:rFonts w:ascii="Century Gothic" w:hAnsi="Century Gothic"/>
          <w:sz w:val="18"/>
          <w:szCs w:val="18"/>
        </w:rPr>
        <w:t xml:space="preserve"> </w:t>
      </w:r>
      <w:r w:rsidRPr="00254A2C">
        <w:rPr>
          <w:rFonts w:ascii="Century Gothic" w:hAnsi="Century Gothic"/>
          <w:sz w:val="18"/>
          <w:szCs w:val="18"/>
        </w:rPr>
        <w:t>of Ireland throughout the 1970s and 1980s. In a predominantly Catholic state, where sexual activity</w:t>
      </w:r>
      <w:r>
        <w:rPr>
          <w:rFonts w:ascii="Century Gothic" w:hAnsi="Century Gothic"/>
          <w:sz w:val="18"/>
          <w:szCs w:val="18"/>
        </w:rPr>
        <w:t xml:space="preserve"> </w:t>
      </w:r>
      <w:r w:rsidRPr="00254A2C">
        <w:rPr>
          <w:rFonts w:ascii="Century Gothic" w:hAnsi="Century Gothic"/>
          <w:sz w:val="18"/>
          <w:szCs w:val="18"/>
        </w:rPr>
        <w:t>outside of marriage was heavily stigmatised, any knowledge of these topics held by young women</w:t>
      </w:r>
      <w:r>
        <w:rPr>
          <w:rFonts w:ascii="Century Gothic" w:hAnsi="Century Gothic"/>
          <w:sz w:val="18"/>
          <w:szCs w:val="18"/>
        </w:rPr>
        <w:t xml:space="preserve"> </w:t>
      </w:r>
      <w:r w:rsidRPr="00254A2C">
        <w:rPr>
          <w:rFonts w:ascii="Century Gothic" w:hAnsi="Century Gothic"/>
          <w:sz w:val="18"/>
          <w:szCs w:val="18"/>
        </w:rPr>
        <w:t>could be deemed as potentially deviant, even by those who supported ‘women’s liberation’.</w:t>
      </w:r>
      <w:r>
        <w:rPr>
          <w:rFonts w:ascii="Century Gothic" w:hAnsi="Century Gothic"/>
          <w:sz w:val="18"/>
          <w:szCs w:val="18"/>
        </w:rPr>
        <w:t xml:space="preserve"> </w:t>
      </w:r>
      <w:r w:rsidRPr="00254A2C">
        <w:rPr>
          <w:rFonts w:ascii="Century Gothic" w:hAnsi="Century Gothic"/>
          <w:sz w:val="18"/>
          <w:szCs w:val="18"/>
        </w:rPr>
        <w:t>Simultaneously, so-called ‘natural’ family planning methods, such as the Billings method, were being</w:t>
      </w:r>
      <w:r>
        <w:rPr>
          <w:rFonts w:ascii="Century Gothic" w:hAnsi="Century Gothic"/>
          <w:sz w:val="18"/>
          <w:szCs w:val="18"/>
        </w:rPr>
        <w:t xml:space="preserve"> </w:t>
      </w:r>
      <w:r w:rsidRPr="00254A2C">
        <w:rPr>
          <w:rFonts w:ascii="Century Gothic" w:hAnsi="Century Gothic"/>
          <w:sz w:val="18"/>
          <w:szCs w:val="18"/>
        </w:rPr>
        <w:t>heavily promoted in Ireland by Catholic organisations. These methods required a high level of both</w:t>
      </w:r>
      <w:r>
        <w:rPr>
          <w:rFonts w:ascii="Century Gothic" w:hAnsi="Century Gothic"/>
          <w:sz w:val="18"/>
          <w:szCs w:val="18"/>
        </w:rPr>
        <w:t xml:space="preserve"> </w:t>
      </w:r>
      <w:r w:rsidRPr="00254A2C">
        <w:rPr>
          <w:rFonts w:ascii="Century Gothic" w:hAnsi="Century Gothic"/>
          <w:sz w:val="18"/>
          <w:szCs w:val="18"/>
        </w:rPr>
        <w:t>body knowledge and body surveillance, as their apparent accuracy depended on the ability of the ‘girl’</w:t>
      </w:r>
      <w:r>
        <w:rPr>
          <w:rFonts w:ascii="Century Gothic" w:hAnsi="Century Gothic"/>
          <w:sz w:val="18"/>
          <w:szCs w:val="18"/>
        </w:rPr>
        <w:t xml:space="preserve"> </w:t>
      </w:r>
      <w:r w:rsidRPr="00254A2C">
        <w:rPr>
          <w:rFonts w:ascii="Century Gothic" w:hAnsi="Century Gothic"/>
          <w:sz w:val="18"/>
          <w:szCs w:val="18"/>
        </w:rPr>
        <w:t>in question to track her menstrual cycle, judge the consistency of her vaginal mucus, and listen to the</w:t>
      </w:r>
      <w:r>
        <w:rPr>
          <w:rFonts w:ascii="Century Gothic" w:hAnsi="Century Gothic"/>
          <w:sz w:val="18"/>
          <w:szCs w:val="18"/>
        </w:rPr>
        <w:t xml:space="preserve"> </w:t>
      </w:r>
      <w:r w:rsidRPr="00254A2C">
        <w:rPr>
          <w:rFonts w:ascii="Century Gothic" w:hAnsi="Century Gothic"/>
          <w:sz w:val="18"/>
          <w:szCs w:val="18"/>
        </w:rPr>
        <w:t>‘cadences of ones hormonal system’. This paper explores the contradictions inherent in these</w:t>
      </w:r>
      <w:r>
        <w:rPr>
          <w:rFonts w:ascii="Century Gothic" w:hAnsi="Century Gothic"/>
          <w:sz w:val="18"/>
          <w:szCs w:val="18"/>
        </w:rPr>
        <w:t xml:space="preserve"> </w:t>
      </w:r>
      <w:r w:rsidRPr="00254A2C">
        <w:rPr>
          <w:rFonts w:ascii="Century Gothic" w:hAnsi="Century Gothic"/>
          <w:sz w:val="18"/>
          <w:szCs w:val="18"/>
        </w:rPr>
        <w:t xml:space="preserve">opposing positions against the </w:t>
      </w:r>
      <w:r w:rsidRPr="00254A2C">
        <w:rPr>
          <w:rFonts w:ascii="Century Gothic" w:hAnsi="Century Gothic"/>
          <w:sz w:val="18"/>
          <w:szCs w:val="18"/>
        </w:rPr>
        <w:lastRenderedPageBreak/>
        <w:t>backdrop of an evolving debate on the lack of, and need for, state</w:t>
      </w:r>
      <w:r>
        <w:rPr>
          <w:rFonts w:ascii="Century Gothic" w:hAnsi="Century Gothic"/>
          <w:sz w:val="18"/>
          <w:szCs w:val="18"/>
        </w:rPr>
        <w:t xml:space="preserve"> </w:t>
      </w:r>
      <w:r w:rsidRPr="00254A2C">
        <w:rPr>
          <w:rFonts w:ascii="Century Gothic" w:hAnsi="Century Gothic"/>
          <w:sz w:val="18"/>
          <w:szCs w:val="18"/>
        </w:rPr>
        <w:t>sanctioned sex education. It also considers how public discussion of contraception and abortion</w:t>
      </w:r>
      <w:r>
        <w:rPr>
          <w:rFonts w:ascii="Century Gothic" w:hAnsi="Century Gothic"/>
          <w:sz w:val="18"/>
          <w:szCs w:val="18"/>
        </w:rPr>
        <w:t xml:space="preserve"> </w:t>
      </w:r>
      <w:r w:rsidRPr="00254A2C">
        <w:rPr>
          <w:rFonts w:ascii="Century Gothic" w:hAnsi="Century Gothic"/>
          <w:sz w:val="18"/>
          <w:szCs w:val="18"/>
        </w:rPr>
        <w:t>illuminated the gaps in body knowledge caused by the lack of formal sex education programme.</w:t>
      </w:r>
    </w:p>
    <w:p w14:paraId="61AA3FF5" w14:textId="4590A2CB" w:rsidR="00C70EBF" w:rsidRPr="00AF774A" w:rsidRDefault="00C70EBF" w:rsidP="00AF774A">
      <w:pPr>
        <w:spacing w:after="240" w:line="360" w:lineRule="auto"/>
        <w:rPr>
          <w:rFonts w:ascii="Century Gothic" w:hAnsi="Century Gothic"/>
          <w:b/>
          <w:bCs/>
          <w:sz w:val="18"/>
          <w:szCs w:val="18"/>
        </w:rPr>
      </w:pPr>
      <w:r w:rsidRPr="00AF774A">
        <w:rPr>
          <w:rFonts w:ascii="Century Gothic" w:hAnsi="Century Gothic"/>
          <w:b/>
          <w:bCs/>
          <w:sz w:val="18"/>
          <w:szCs w:val="18"/>
        </w:rPr>
        <w:t>'"For Greece, Contraception Means Abortion": Reproductive Bodies, Institutional Silence, and Feminist Production in Post-Junta Athens (1975-1986)' (Angeliki Kokkali, University of Glasgow)</w:t>
      </w:r>
    </w:p>
    <w:p w14:paraId="20427915" w14:textId="4CAFA8A4" w:rsidR="00AF774A" w:rsidRPr="00AF774A" w:rsidRDefault="00AF774A" w:rsidP="00AF774A">
      <w:pPr>
        <w:spacing w:after="240" w:line="360" w:lineRule="auto"/>
        <w:rPr>
          <w:rFonts w:ascii="Century Gothic" w:hAnsi="Century Gothic"/>
          <w:sz w:val="18"/>
          <w:szCs w:val="18"/>
        </w:rPr>
      </w:pPr>
      <w:r w:rsidRPr="00AF774A">
        <w:rPr>
          <w:rFonts w:ascii="Century Gothic" w:hAnsi="Century Gothic"/>
          <w:sz w:val="18"/>
          <w:szCs w:val="18"/>
        </w:rPr>
        <w:t>In post-junta Greece, the reproductive body became a charged political site. Following the fall of</w:t>
      </w:r>
      <w:r>
        <w:rPr>
          <w:rFonts w:ascii="Century Gothic" w:hAnsi="Century Gothic"/>
          <w:sz w:val="18"/>
          <w:szCs w:val="18"/>
        </w:rPr>
        <w:t xml:space="preserve"> </w:t>
      </w:r>
      <w:r w:rsidRPr="00AF774A">
        <w:rPr>
          <w:rFonts w:ascii="Century Gothic" w:hAnsi="Century Gothic"/>
          <w:sz w:val="18"/>
          <w:szCs w:val="18"/>
        </w:rPr>
        <w:t xml:space="preserve">the military dictatorship in 1974, the </w:t>
      </w:r>
      <w:r w:rsidRPr="00AF774A">
        <w:rPr>
          <w:rFonts w:ascii="Century Gothic" w:hAnsi="Century Gothic"/>
          <w:i/>
          <w:iCs/>
          <w:sz w:val="18"/>
          <w:szCs w:val="18"/>
        </w:rPr>
        <w:t>Metapolitefsi</w:t>
      </w:r>
      <w:r w:rsidRPr="00AF774A">
        <w:rPr>
          <w:rFonts w:ascii="Century Gothic" w:hAnsi="Century Gothic"/>
          <w:sz w:val="18"/>
          <w:szCs w:val="18"/>
        </w:rPr>
        <w:t>, the period of democratic transition, opened</w:t>
      </w:r>
      <w:r>
        <w:rPr>
          <w:rFonts w:ascii="Century Gothic" w:hAnsi="Century Gothic"/>
          <w:sz w:val="18"/>
          <w:szCs w:val="18"/>
        </w:rPr>
        <w:t xml:space="preserve"> </w:t>
      </w:r>
      <w:r w:rsidRPr="00AF774A">
        <w:rPr>
          <w:rFonts w:ascii="Century Gothic" w:hAnsi="Century Gothic"/>
          <w:sz w:val="18"/>
          <w:szCs w:val="18"/>
        </w:rPr>
        <w:t>new possibilities for feminist organising, yet left women's reproductive lives largely unchanged.</w:t>
      </w:r>
      <w:r>
        <w:rPr>
          <w:rFonts w:ascii="Century Gothic" w:hAnsi="Century Gothic"/>
          <w:sz w:val="18"/>
          <w:szCs w:val="18"/>
        </w:rPr>
        <w:t xml:space="preserve"> </w:t>
      </w:r>
      <w:r w:rsidRPr="00AF774A">
        <w:rPr>
          <w:rFonts w:ascii="Century Gothic" w:hAnsi="Century Gothic"/>
          <w:sz w:val="18"/>
          <w:szCs w:val="18"/>
        </w:rPr>
        <w:t>Abortion remained criminalised until 1986 but was widely practised through informal medical</w:t>
      </w:r>
      <w:r>
        <w:rPr>
          <w:rFonts w:ascii="Century Gothic" w:hAnsi="Century Gothic"/>
          <w:sz w:val="18"/>
          <w:szCs w:val="18"/>
        </w:rPr>
        <w:t xml:space="preserve"> </w:t>
      </w:r>
      <w:r w:rsidRPr="00AF774A">
        <w:rPr>
          <w:rFonts w:ascii="Century Gothic" w:hAnsi="Century Gothic"/>
          <w:sz w:val="18"/>
          <w:szCs w:val="18"/>
        </w:rPr>
        <w:t>networks; contraception, meanwhile, lacked state provision, institutional support, or public</w:t>
      </w:r>
      <w:r>
        <w:rPr>
          <w:rFonts w:ascii="Century Gothic" w:hAnsi="Century Gothic"/>
          <w:sz w:val="18"/>
          <w:szCs w:val="18"/>
        </w:rPr>
        <w:t xml:space="preserve"> </w:t>
      </w:r>
      <w:r w:rsidRPr="00AF774A">
        <w:rPr>
          <w:rFonts w:ascii="Century Gothic" w:hAnsi="Century Gothic"/>
          <w:sz w:val="18"/>
          <w:szCs w:val="18"/>
        </w:rPr>
        <w:t>education. Institutional silence was not incidental. It was a form of bodily governance, exercised</w:t>
      </w:r>
      <w:r>
        <w:rPr>
          <w:rFonts w:ascii="Century Gothic" w:hAnsi="Century Gothic"/>
          <w:sz w:val="18"/>
          <w:szCs w:val="18"/>
        </w:rPr>
        <w:t xml:space="preserve"> </w:t>
      </w:r>
      <w:r w:rsidRPr="00AF774A">
        <w:rPr>
          <w:rFonts w:ascii="Century Gothic" w:hAnsi="Century Gothic"/>
          <w:sz w:val="18"/>
          <w:szCs w:val="18"/>
        </w:rPr>
        <w:t>jointly by the state, the Greek Orthodox Church, and the male-dominated medical profession.</w:t>
      </w:r>
    </w:p>
    <w:p w14:paraId="2D16EE93" w14:textId="2D8C8D85" w:rsidR="00C70EBF" w:rsidRDefault="00AF774A" w:rsidP="00AF774A">
      <w:pPr>
        <w:spacing w:after="240" w:line="360" w:lineRule="auto"/>
        <w:rPr>
          <w:rFonts w:ascii="Century Gothic" w:hAnsi="Century Gothic"/>
          <w:sz w:val="18"/>
          <w:szCs w:val="18"/>
        </w:rPr>
      </w:pPr>
      <w:r w:rsidRPr="00AF774A">
        <w:rPr>
          <w:rFonts w:ascii="Century Gothic" w:hAnsi="Century Gothic"/>
          <w:sz w:val="18"/>
          <w:szCs w:val="18"/>
        </w:rPr>
        <w:t>This paper examines how feminist groups, women-only collectives challenged this condition</w:t>
      </w:r>
      <w:r>
        <w:rPr>
          <w:rFonts w:ascii="Century Gothic" w:hAnsi="Century Gothic"/>
          <w:sz w:val="18"/>
          <w:szCs w:val="18"/>
        </w:rPr>
        <w:t xml:space="preserve"> </w:t>
      </w:r>
      <w:r w:rsidRPr="00AF774A">
        <w:rPr>
          <w:rFonts w:ascii="Century Gothic" w:hAnsi="Century Gothic"/>
          <w:sz w:val="18"/>
          <w:szCs w:val="18"/>
        </w:rPr>
        <w:t>through three interconnected interventions: the first contraception brochure published in 1976,</w:t>
      </w:r>
      <w:r>
        <w:rPr>
          <w:rFonts w:ascii="Century Gothic" w:hAnsi="Century Gothic"/>
          <w:sz w:val="18"/>
          <w:szCs w:val="18"/>
        </w:rPr>
        <w:t xml:space="preserve"> </w:t>
      </w:r>
      <w:r w:rsidRPr="00AF774A">
        <w:rPr>
          <w:rFonts w:ascii="Century Gothic" w:hAnsi="Century Gothic"/>
          <w:sz w:val="18"/>
          <w:szCs w:val="18"/>
        </w:rPr>
        <w:t>campaign materials of the Autonomous Women's Movement, and the 1981 Greek translation of</w:t>
      </w:r>
      <w:r>
        <w:rPr>
          <w:rFonts w:ascii="Century Gothic" w:hAnsi="Century Gothic"/>
          <w:sz w:val="18"/>
          <w:szCs w:val="18"/>
        </w:rPr>
        <w:t xml:space="preserve"> </w:t>
      </w:r>
      <w:r w:rsidRPr="00AF774A">
        <w:rPr>
          <w:rFonts w:ascii="Century Gothic" w:hAnsi="Century Gothic"/>
          <w:i/>
          <w:iCs/>
          <w:sz w:val="18"/>
          <w:szCs w:val="18"/>
        </w:rPr>
        <w:t>Our Bodies, Ourselves</w:t>
      </w:r>
      <w:r w:rsidRPr="00AF774A">
        <w:rPr>
          <w:rFonts w:ascii="Century Gothic" w:hAnsi="Century Gothic"/>
          <w:sz w:val="18"/>
          <w:szCs w:val="18"/>
        </w:rPr>
        <w:t>. Reading these sources together, it argues that Greek feminist activists</w:t>
      </w:r>
      <w:r>
        <w:rPr>
          <w:rFonts w:ascii="Century Gothic" w:hAnsi="Century Gothic"/>
          <w:sz w:val="18"/>
          <w:szCs w:val="18"/>
        </w:rPr>
        <w:t xml:space="preserve"> </w:t>
      </w:r>
      <w:r w:rsidRPr="00AF774A">
        <w:rPr>
          <w:rFonts w:ascii="Century Gothic" w:hAnsi="Century Gothic"/>
          <w:sz w:val="18"/>
          <w:szCs w:val="18"/>
        </w:rPr>
        <w:t>engaged in a double act of translation, linguistic and political, actively adapting international</w:t>
      </w:r>
      <w:r>
        <w:rPr>
          <w:rFonts w:ascii="Century Gothic" w:hAnsi="Century Gothic"/>
          <w:sz w:val="18"/>
          <w:szCs w:val="18"/>
        </w:rPr>
        <w:t xml:space="preserve"> </w:t>
      </w:r>
      <w:r w:rsidRPr="00AF774A">
        <w:rPr>
          <w:rFonts w:ascii="Century Gothic" w:hAnsi="Century Gothic"/>
          <w:sz w:val="18"/>
          <w:szCs w:val="18"/>
        </w:rPr>
        <w:t>feminist knowledge about bodily autonomy to a context defined by neglect rather than legal</w:t>
      </w:r>
      <w:r>
        <w:rPr>
          <w:rFonts w:ascii="Century Gothic" w:hAnsi="Century Gothic"/>
          <w:sz w:val="18"/>
          <w:szCs w:val="18"/>
        </w:rPr>
        <w:t xml:space="preserve"> </w:t>
      </w:r>
      <w:r w:rsidRPr="00AF774A">
        <w:rPr>
          <w:rFonts w:ascii="Century Gothic" w:hAnsi="Century Gothic"/>
          <w:sz w:val="18"/>
          <w:szCs w:val="18"/>
        </w:rPr>
        <w:t>prohibition. The Greek case, largely absent from European feminist historiography, reveals how</w:t>
      </w:r>
      <w:r>
        <w:rPr>
          <w:rFonts w:ascii="Century Gothic" w:hAnsi="Century Gothic"/>
          <w:sz w:val="18"/>
          <w:szCs w:val="18"/>
        </w:rPr>
        <w:t xml:space="preserve"> </w:t>
      </w:r>
      <w:r w:rsidRPr="00AF774A">
        <w:rPr>
          <w:rFonts w:ascii="Century Gothic" w:hAnsi="Century Gothic"/>
          <w:sz w:val="18"/>
          <w:szCs w:val="18"/>
        </w:rPr>
        <w:t>democratic transition did not automatically extend to women's bodies, making reproductive</w:t>
      </w:r>
      <w:r>
        <w:rPr>
          <w:rFonts w:ascii="Century Gothic" w:hAnsi="Century Gothic"/>
          <w:sz w:val="18"/>
          <w:szCs w:val="18"/>
        </w:rPr>
        <w:t xml:space="preserve"> </w:t>
      </w:r>
      <w:r w:rsidRPr="00AF774A">
        <w:rPr>
          <w:rFonts w:ascii="Century Gothic" w:hAnsi="Century Gothic"/>
          <w:sz w:val="18"/>
          <w:szCs w:val="18"/>
        </w:rPr>
        <w:t>politics a distinctly embodied arena of post-authoritarian struggle.</w:t>
      </w:r>
    </w:p>
    <w:p w14:paraId="391027E2" w14:textId="63CB5418" w:rsidR="00C70EBF" w:rsidRPr="00AF774A" w:rsidRDefault="00C70EBF" w:rsidP="00AF774A">
      <w:pPr>
        <w:spacing w:after="240" w:line="360" w:lineRule="auto"/>
        <w:rPr>
          <w:rFonts w:ascii="Century Gothic" w:hAnsi="Century Gothic"/>
          <w:b/>
          <w:bCs/>
          <w:sz w:val="18"/>
          <w:szCs w:val="18"/>
        </w:rPr>
      </w:pPr>
      <w:r w:rsidRPr="00AF774A">
        <w:rPr>
          <w:rFonts w:ascii="Century Gothic" w:hAnsi="Century Gothic"/>
          <w:b/>
          <w:bCs/>
          <w:sz w:val="18"/>
          <w:szCs w:val="18"/>
        </w:rPr>
        <w:t>'Bodies and Spirits: Reproduction and Spiritualism in the Antebellum United States' (Nienke Groskamp, University of Cambridge)</w:t>
      </w:r>
    </w:p>
    <w:p w14:paraId="21B591D9" w14:textId="79ACD891" w:rsidR="00C70EBF" w:rsidRDefault="00AF774A" w:rsidP="00AF774A">
      <w:pPr>
        <w:spacing w:after="240" w:line="360" w:lineRule="auto"/>
        <w:rPr>
          <w:rFonts w:ascii="Century Gothic" w:hAnsi="Century Gothic"/>
          <w:sz w:val="18"/>
          <w:szCs w:val="18"/>
        </w:rPr>
      </w:pPr>
      <w:r w:rsidRPr="00AF774A">
        <w:rPr>
          <w:rFonts w:ascii="Century Gothic" w:hAnsi="Century Gothic"/>
          <w:sz w:val="18"/>
          <w:szCs w:val="18"/>
        </w:rPr>
        <w:t>From the 1850s, United States Spiritualists consulted the dead to guide their reproductive lives.</w:t>
      </w:r>
      <w:r>
        <w:rPr>
          <w:rFonts w:ascii="Century Gothic" w:hAnsi="Century Gothic"/>
          <w:sz w:val="18"/>
          <w:szCs w:val="18"/>
        </w:rPr>
        <w:t xml:space="preserve"> </w:t>
      </w:r>
      <w:r w:rsidRPr="00AF774A">
        <w:rPr>
          <w:rFonts w:ascii="Century Gothic" w:hAnsi="Century Gothic"/>
          <w:sz w:val="18"/>
          <w:szCs w:val="18"/>
        </w:rPr>
        <w:t>Through newspapers, books, and conferences, Spiritualist healers, within and outside of the</w:t>
      </w:r>
      <w:r>
        <w:rPr>
          <w:rFonts w:ascii="Century Gothic" w:hAnsi="Century Gothic"/>
          <w:sz w:val="18"/>
          <w:szCs w:val="18"/>
        </w:rPr>
        <w:t xml:space="preserve"> </w:t>
      </w:r>
      <w:r w:rsidRPr="00AF774A">
        <w:rPr>
          <w:rFonts w:ascii="Century Gothic" w:hAnsi="Century Gothic"/>
          <w:sz w:val="18"/>
          <w:szCs w:val="18"/>
        </w:rPr>
        <w:t>medical profession, reached wide audiences. This talk highlights their largely forgotten role in</w:t>
      </w:r>
      <w:r>
        <w:rPr>
          <w:rFonts w:ascii="Century Gothic" w:hAnsi="Century Gothic"/>
          <w:sz w:val="18"/>
          <w:szCs w:val="18"/>
        </w:rPr>
        <w:t xml:space="preserve"> </w:t>
      </w:r>
      <w:r w:rsidRPr="00AF774A">
        <w:rPr>
          <w:rFonts w:ascii="Century Gothic" w:hAnsi="Century Gothic"/>
          <w:sz w:val="18"/>
          <w:szCs w:val="18"/>
        </w:rPr>
        <w:t>spreading reproductive knowledge. While historians have identified nineteenth-century</w:t>
      </w:r>
      <w:r>
        <w:rPr>
          <w:rFonts w:ascii="Century Gothic" w:hAnsi="Century Gothic"/>
          <w:sz w:val="18"/>
          <w:szCs w:val="18"/>
        </w:rPr>
        <w:t xml:space="preserve"> </w:t>
      </w:r>
      <w:r w:rsidRPr="00AF774A">
        <w:rPr>
          <w:rFonts w:ascii="Century Gothic" w:hAnsi="Century Gothic"/>
          <w:sz w:val="18"/>
          <w:szCs w:val="18"/>
        </w:rPr>
        <w:t>physiological advice literature as instrumental to declining birth rates, they have overlooked that</w:t>
      </w:r>
      <w:r>
        <w:rPr>
          <w:rFonts w:ascii="Century Gothic" w:hAnsi="Century Gothic"/>
          <w:sz w:val="18"/>
          <w:szCs w:val="18"/>
        </w:rPr>
        <w:t xml:space="preserve"> s</w:t>
      </w:r>
      <w:r w:rsidRPr="00AF774A">
        <w:rPr>
          <w:rFonts w:ascii="Century Gothic" w:hAnsi="Century Gothic"/>
          <w:sz w:val="18"/>
          <w:szCs w:val="18"/>
        </w:rPr>
        <w:t>ome of its most influential authors were committed Spiritualists. Forged in the 1840s and</w:t>
      </w:r>
      <w:r>
        <w:rPr>
          <w:rFonts w:ascii="Century Gothic" w:hAnsi="Century Gothic"/>
          <w:sz w:val="18"/>
          <w:szCs w:val="18"/>
        </w:rPr>
        <w:t xml:space="preserve"> </w:t>
      </w:r>
      <w:r w:rsidRPr="00AF774A">
        <w:rPr>
          <w:rFonts w:ascii="Century Gothic" w:hAnsi="Century Gothic"/>
          <w:sz w:val="18"/>
          <w:szCs w:val="18"/>
        </w:rPr>
        <w:t>largely women-led, Spiritualism promised access to moral and scientific knowledge by</w:t>
      </w:r>
      <w:r>
        <w:rPr>
          <w:rFonts w:ascii="Century Gothic" w:hAnsi="Century Gothic"/>
          <w:sz w:val="18"/>
          <w:szCs w:val="18"/>
        </w:rPr>
        <w:t xml:space="preserve"> </w:t>
      </w:r>
      <w:r w:rsidRPr="00AF774A">
        <w:rPr>
          <w:rFonts w:ascii="Century Gothic" w:hAnsi="Century Gothic"/>
          <w:sz w:val="18"/>
          <w:szCs w:val="18"/>
        </w:rPr>
        <w:t>communication with the dead, particularly about human reproduction. Widely read advice</w:t>
      </w:r>
      <w:r>
        <w:rPr>
          <w:rFonts w:ascii="Century Gothic" w:hAnsi="Century Gothic"/>
          <w:sz w:val="18"/>
          <w:szCs w:val="18"/>
        </w:rPr>
        <w:t xml:space="preserve"> </w:t>
      </w:r>
      <w:r w:rsidRPr="00AF774A">
        <w:rPr>
          <w:rFonts w:ascii="Century Gothic" w:hAnsi="Century Gothic"/>
          <w:sz w:val="18"/>
          <w:szCs w:val="18"/>
        </w:rPr>
        <w:t xml:space="preserve">manuals by Spiritualist writers, notably Thomas Low Nichols’s </w:t>
      </w:r>
      <w:r w:rsidRPr="00AF774A">
        <w:rPr>
          <w:rFonts w:ascii="Century Gothic" w:hAnsi="Century Gothic"/>
          <w:i/>
          <w:iCs/>
          <w:sz w:val="18"/>
          <w:szCs w:val="18"/>
        </w:rPr>
        <w:t xml:space="preserve">Esoteric Anthropology </w:t>
      </w:r>
      <w:r w:rsidRPr="00AF774A">
        <w:rPr>
          <w:rFonts w:ascii="Century Gothic" w:hAnsi="Century Gothic"/>
          <w:sz w:val="18"/>
          <w:szCs w:val="18"/>
        </w:rPr>
        <w:t>(1854)</w:t>
      </w:r>
      <w:r>
        <w:rPr>
          <w:rFonts w:ascii="Century Gothic" w:hAnsi="Century Gothic"/>
          <w:sz w:val="18"/>
          <w:szCs w:val="18"/>
        </w:rPr>
        <w:t xml:space="preserve"> </w:t>
      </w:r>
      <w:r w:rsidRPr="00AF774A">
        <w:rPr>
          <w:rFonts w:ascii="Century Gothic" w:hAnsi="Century Gothic"/>
          <w:sz w:val="18"/>
          <w:szCs w:val="18"/>
        </w:rPr>
        <w:t xml:space="preserve">and Henry Clarke Wright’s </w:t>
      </w:r>
      <w:r w:rsidRPr="00AF774A">
        <w:rPr>
          <w:rFonts w:ascii="Century Gothic" w:hAnsi="Century Gothic"/>
          <w:i/>
          <w:iCs/>
          <w:sz w:val="18"/>
          <w:szCs w:val="18"/>
        </w:rPr>
        <w:t xml:space="preserve">The Unwelcome Child </w:t>
      </w:r>
      <w:r w:rsidRPr="00AF774A">
        <w:rPr>
          <w:rFonts w:ascii="Century Gothic" w:hAnsi="Century Gothic"/>
          <w:sz w:val="18"/>
          <w:szCs w:val="18"/>
        </w:rPr>
        <w:t>(1858), promoted these claims. By combining</w:t>
      </w:r>
      <w:r>
        <w:rPr>
          <w:rFonts w:ascii="Century Gothic" w:hAnsi="Century Gothic"/>
          <w:sz w:val="18"/>
          <w:szCs w:val="18"/>
        </w:rPr>
        <w:t xml:space="preserve"> </w:t>
      </w:r>
      <w:r w:rsidRPr="00AF774A">
        <w:rPr>
          <w:rFonts w:ascii="Century Gothic" w:hAnsi="Century Gothic"/>
          <w:sz w:val="18"/>
          <w:szCs w:val="18"/>
        </w:rPr>
        <w:t>older theories of prenatal influence with Spiritualist ideas of soul-to-soul interaction, they argued</w:t>
      </w:r>
      <w:r>
        <w:rPr>
          <w:rFonts w:ascii="Century Gothic" w:hAnsi="Century Gothic"/>
          <w:sz w:val="18"/>
          <w:szCs w:val="18"/>
        </w:rPr>
        <w:t xml:space="preserve"> </w:t>
      </w:r>
      <w:r w:rsidRPr="00AF774A">
        <w:rPr>
          <w:rFonts w:ascii="Century Gothic" w:hAnsi="Century Gothic"/>
          <w:sz w:val="18"/>
          <w:szCs w:val="18"/>
        </w:rPr>
        <w:t>that women’s well-being directly shaped the foetus. Distinct from mainline Protestantism,</w:t>
      </w:r>
      <w:r>
        <w:rPr>
          <w:rFonts w:ascii="Century Gothic" w:hAnsi="Century Gothic"/>
          <w:sz w:val="18"/>
          <w:szCs w:val="18"/>
        </w:rPr>
        <w:t xml:space="preserve"> </w:t>
      </w:r>
      <w:r w:rsidRPr="00AF774A">
        <w:rPr>
          <w:rFonts w:ascii="Century Gothic" w:hAnsi="Century Gothic"/>
          <w:sz w:val="18"/>
          <w:szCs w:val="18"/>
        </w:rPr>
        <w:t>Spiritualism made reproduction central to religious life and promoted alternative views of the</w:t>
      </w:r>
      <w:r>
        <w:rPr>
          <w:rFonts w:ascii="Century Gothic" w:hAnsi="Century Gothic"/>
          <w:sz w:val="18"/>
          <w:szCs w:val="18"/>
        </w:rPr>
        <w:t xml:space="preserve"> </w:t>
      </w:r>
      <w:r w:rsidRPr="00AF774A">
        <w:rPr>
          <w:rFonts w:ascii="Century Gothic" w:hAnsi="Century Gothic"/>
          <w:sz w:val="18"/>
          <w:szCs w:val="18"/>
        </w:rPr>
        <w:t>body and healing outside the authority of the American Medical Association. By foregrounding</w:t>
      </w:r>
      <w:r>
        <w:rPr>
          <w:rFonts w:ascii="Century Gothic" w:hAnsi="Century Gothic"/>
          <w:sz w:val="18"/>
          <w:szCs w:val="18"/>
        </w:rPr>
        <w:t xml:space="preserve"> </w:t>
      </w:r>
      <w:r w:rsidRPr="00AF774A">
        <w:rPr>
          <w:rFonts w:ascii="Century Gothic" w:hAnsi="Century Gothic"/>
          <w:sz w:val="18"/>
          <w:szCs w:val="18"/>
        </w:rPr>
        <w:t>Spiritualists, I challenge secularised and Protestant-centred accounts of the history of heredity</w:t>
      </w:r>
      <w:r>
        <w:rPr>
          <w:rFonts w:ascii="Century Gothic" w:hAnsi="Century Gothic"/>
          <w:sz w:val="18"/>
          <w:szCs w:val="18"/>
        </w:rPr>
        <w:t xml:space="preserve"> </w:t>
      </w:r>
      <w:r w:rsidRPr="00AF774A">
        <w:rPr>
          <w:rFonts w:ascii="Century Gothic" w:hAnsi="Century Gothic"/>
          <w:sz w:val="18"/>
          <w:szCs w:val="18"/>
        </w:rPr>
        <w:t>and reproduction and show that they helped reshape debates over medicine and moral reform</w:t>
      </w:r>
      <w:r>
        <w:rPr>
          <w:rFonts w:ascii="Century Gothic" w:hAnsi="Century Gothic"/>
          <w:sz w:val="18"/>
          <w:szCs w:val="18"/>
        </w:rPr>
        <w:t>.</w:t>
      </w:r>
    </w:p>
    <w:p w14:paraId="63551AAA" w14:textId="77777777" w:rsidR="00C70EBF" w:rsidRDefault="00C70EBF" w:rsidP="00AF774A">
      <w:pPr>
        <w:spacing w:after="240" w:line="360" w:lineRule="auto"/>
        <w:rPr>
          <w:rFonts w:ascii="Century Gothic" w:hAnsi="Century Gothic"/>
          <w:sz w:val="18"/>
          <w:szCs w:val="18"/>
        </w:rPr>
      </w:pPr>
    </w:p>
    <w:p w14:paraId="1C93A922" w14:textId="77777777" w:rsidR="00C70EBF" w:rsidRPr="00C70EBF" w:rsidRDefault="00C70EBF" w:rsidP="00AF774A">
      <w:pPr>
        <w:spacing w:after="240" w:line="360" w:lineRule="auto"/>
        <w:jc w:val="center"/>
        <w:rPr>
          <w:rFonts w:ascii="Century Gothic" w:hAnsi="Century Gothic"/>
          <w:b/>
          <w:bCs/>
          <w:i/>
          <w:iCs/>
          <w:sz w:val="18"/>
          <w:szCs w:val="18"/>
        </w:rPr>
      </w:pPr>
      <w:r w:rsidRPr="00C70EBF">
        <w:rPr>
          <w:rFonts w:ascii="Century Gothic" w:hAnsi="Century Gothic"/>
          <w:b/>
          <w:bCs/>
          <w:i/>
          <w:iCs/>
          <w:sz w:val="18"/>
          <w:szCs w:val="18"/>
        </w:rPr>
        <w:t>Panel 7: Diet and Digestion</w:t>
      </w:r>
    </w:p>
    <w:p w14:paraId="2079DB2E" w14:textId="2EA3BF93" w:rsidR="00C70EBF" w:rsidRPr="006C7B19" w:rsidRDefault="00C70EBF" w:rsidP="00AF774A">
      <w:pPr>
        <w:spacing w:after="240" w:line="360" w:lineRule="auto"/>
        <w:rPr>
          <w:rFonts w:ascii="Century Gothic" w:hAnsi="Century Gothic"/>
          <w:b/>
          <w:bCs/>
          <w:sz w:val="18"/>
          <w:szCs w:val="18"/>
        </w:rPr>
      </w:pPr>
      <w:r w:rsidRPr="006C7B19">
        <w:rPr>
          <w:rFonts w:ascii="Century Gothic" w:hAnsi="Century Gothic"/>
          <w:b/>
          <w:bCs/>
          <w:sz w:val="18"/>
          <w:szCs w:val="18"/>
        </w:rPr>
        <w:t>'The restrictive effects of Georgian (over)indulgence' (Ailsa Maxwell, University of Oxford)</w:t>
      </w:r>
    </w:p>
    <w:p w14:paraId="578DC633" w14:textId="77777777" w:rsidR="00254A2C" w:rsidRPr="00254A2C" w:rsidRDefault="00254A2C" w:rsidP="00254A2C">
      <w:pPr>
        <w:spacing w:after="240" w:line="360" w:lineRule="auto"/>
        <w:rPr>
          <w:rFonts w:ascii="Century Gothic" w:hAnsi="Century Gothic"/>
          <w:sz w:val="18"/>
          <w:szCs w:val="18"/>
        </w:rPr>
      </w:pPr>
      <w:r w:rsidRPr="00254A2C">
        <w:rPr>
          <w:rFonts w:ascii="Century Gothic" w:hAnsi="Century Gothic"/>
          <w:sz w:val="18"/>
          <w:szCs w:val="18"/>
        </w:rPr>
        <w:t xml:space="preserve">In light of the eighteenth-century popularisation of ‘luxury’ foods, ideas around indulgence and temptation subsequently shifted and engendered pejorative views on corpulency, health and morality. The primary objective of this </w:t>
      </w:r>
      <w:r w:rsidRPr="00254A2C">
        <w:rPr>
          <w:rFonts w:ascii="Century Gothic" w:hAnsi="Century Gothic"/>
          <w:sz w:val="18"/>
          <w:szCs w:val="18"/>
        </w:rPr>
        <w:lastRenderedPageBreak/>
        <w:t>paper is to re-evaluate the culture of ‘luxury’ foods and the ensuing effects on eating habits and ordinary lives. Rather than a dichotomy between the hedonistic intakes of some and the abject poverty of others, this paper argues that diets were actively restricted for a number of reasons.</w:t>
      </w:r>
    </w:p>
    <w:p w14:paraId="74F97AD3" w14:textId="77777777" w:rsidR="00254A2C" w:rsidRPr="00254A2C" w:rsidRDefault="00254A2C" w:rsidP="00254A2C">
      <w:pPr>
        <w:spacing w:after="240" w:line="360" w:lineRule="auto"/>
        <w:rPr>
          <w:rFonts w:ascii="Century Gothic" w:hAnsi="Century Gothic"/>
          <w:sz w:val="18"/>
          <w:szCs w:val="18"/>
        </w:rPr>
      </w:pPr>
      <w:r w:rsidRPr="00254A2C">
        <w:rPr>
          <w:rFonts w:ascii="Century Gothic" w:hAnsi="Century Gothic"/>
          <w:sz w:val="18"/>
          <w:szCs w:val="18"/>
        </w:rPr>
        <w:t>Split into three, the first part addresses </w:t>
      </w:r>
      <w:r w:rsidRPr="00254A2C">
        <w:rPr>
          <w:rFonts w:ascii="Century Gothic" w:hAnsi="Century Gothic"/>
          <w:i/>
          <w:iCs/>
          <w:sz w:val="18"/>
          <w:szCs w:val="18"/>
        </w:rPr>
        <w:t>appetite and desire</w:t>
      </w:r>
      <w:r w:rsidRPr="00254A2C">
        <w:rPr>
          <w:rFonts w:ascii="Century Gothic" w:hAnsi="Century Gothic"/>
          <w:sz w:val="18"/>
          <w:szCs w:val="18"/>
        </w:rPr>
        <w:t>, more broadly considering a rebellion against luxury. The work of George Cheyne and Thomas Tryon, among others, advised restrictive diets and the avoidance of either morally or corporeally troublesome foods. The second part discusses changing ideas around </w:t>
      </w:r>
      <w:r w:rsidRPr="00254A2C">
        <w:rPr>
          <w:rFonts w:ascii="Century Gothic" w:hAnsi="Century Gothic"/>
          <w:i/>
          <w:iCs/>
          <w:sz w:val="18"/>
          <w:szCs w:val="18"/>
        </w:rPr>
        <w:t>digestion and the body</w:t>
      </w:r>
      <w:r w:rsidRPr="00254A2C">
        <w:rPr>
          <w:rFonts w:ascii="Century Gothic" w:hAnsi="Century Gothic"/>
          <w:sz w:val="18"/>
          <w:szCs w:val="18"/>
        </w:rPr>
        <w:t>, particularly looking at those who changed their diet, often dramatically, to cure or avoid health complaints. The final section tackles </w:t>
      </w:r>
      <w:r w:rsidRPr="00254A2C">
        <w:rPr>
          <w:rFonts w:ascii="Century Gothic" w:hAnsi="Century Gothic"/>
          <w:i/>
          <w:iCs/>
          <w:sz w:val="18"/>
          <w:szCs w:val="18"/>
        </w:rPr>
        <w:t>diet culture, corpulency and thinness</w:t>
      </w:r>
      <w:r w:rsidRPr="00254A2C">
        <w:rPr>
          <w:rFonts w:ascii="Century Gothic" w:hAnsi="Century Gothic"/>
          <w:sz w:val="18"/>
          <w:szCs w:val="18"/>
        </w:rPr>
        <w:t>. The desire to be thin gave rise to recipes for homemade diet pills, foods and drinks, particularly aimed at women. </w:t>
      </w:r>
    </w:p>
    <w:p w14:paraId="424B8E03" w14:textId="68941B55" w:rsidR="00C70EBF" w:rsidRDefault="00254A2C" w:rsidP="00AF774A">
      <w:pPr>
        <w:spacing w:after="240" w:line="360" w:lineRule="auto"/>
        <w:rPr>
          <w:rFonts w:ascii="Century Gothic" w:hAnsi="Century Gothic"/>
          <w:sz w:val="18"/>
          <w:szCs w:val="18"/>
        </w:rPr>
      </w:pPr>
      <w:r w:rsidRPr="00254A2C">
        <w:rPr>
          <w:rFonts w:ascii="Century Gothic" w:hAnsi="Century Gothic"/>
          <w:sz w:val="18"/>
          <w:szCs w:val="18"/>
        </w:rPr>
        <w:t>Ultimately, the paper seeks to investigate ‘the art of not eating’, motivations and practicalities for such behaviour with more nuance than previously allowed in historiography. </w:t>
      </w:r>
    </w:p>
    <w:p w14:paraId="70302225" w14:textId="77777777" w:rsidR="00C70EBF" w:rsidRPr="006C7B19" w:rsidRDefault="00C70EBF" w:rsidP="00AF774A">
      <w:pPr>
        <w:spacing w:after="240" w:line="360" w:lineRule="auto"/>
        <w:rPr>
          <w:rFonts w:ascii="Century Gothic" w:hAnsi="Century Gothic"/>
          <w:b/>
          <w:bCs/>
          <w:sz w:val="18"/>
          <w:szCs w:val="18"/>
        </w:rPr>
      </w:pPr>
      <w:r w:rsidRPr="006C7B19">
        <w:rPr>
          <w:rFonts w:ascii="Century Gothic" w:hAnsi="Century Gothic"/>
          <w:b/>
          <w:bCs/>
          <w:sz w:val="18"/>
          <w:szCs w:val="18"/>
        </w:rPr>
        <w:t>'Eating for vitality: Digestion, self-nurturing, and the making of the hygienic body in late Qing China' (Ge Yang, Durham University)</w:t>
      </w:r>
    </w:p>
    <w:p w14:paraId="29EAF06C" w14:textId="03EF87C3" w:rsidR="00C70EBF" w:rsidRDefault="006C7B19" w:rsidP="00AF774A">
      <w:pPr>
        <w:spacing w:after="240" w:line="360" w:lineRule="auto"/>
        <w:rPr>
          <w:rFonts w:ascii="Century Gothic" w:hAnsi="Century Gothic"/>
          <w:sz w:val="18"/>
          <w:szCs w:val="18"/>
        </w:rPr>
      </w:pPr>
      <w:r w:rsidRPr="006C7B19">
        <w:rPr>
          <w:rFonts w:ascii="Century Gothic" w:hAnsi="Century Gothic"/>
          <w:sz w:val="18"/>
          <w:szCs w:val="18"/>
        </w:rPr>
        <w:t>In the late nineteenth and early twentieth centuries, new discourses of hygiene transformed conceptions of the body and health in China. This paper examines the emergence of the “hygienic body” through hybrid bodily knowledge shaped by Chinese medicine and modern physiology, and through the everyday practices of eating and self-nourishing in which the body was sensed, interpreted and constituted. This paper first explores how new understandings of digestion were formed through the interaction of traditional Chinese medicine and modern physiology. Drawing on medical publications of Tang Zonghai and Luo Dingchang, this paper examines how the classical concept of </w:t>
      </w:r>
      <w:r w:rsidRPr="006C7B19">
        <w:rPr>
          <w:rFonts w:ascii="Century Gothic" w:hAnsi="Century Gothic"/>
          <w:i/>
          <w:iCs/>
          <w:sz w:val="18"/>
          <w:szCs w:val="18"/>
        </w:rPr>
        <w:t>sanjiao</w:t>
      </w:r>
      <w:r w:rsidRPr="006C7B19">
        <w:rPr>
          <w:rFonts w:ascii="Century Gothic" w:hAnsi="Century Gothic"/>
          <w:sz w:val="18"/>
          <w:szCs w:val="18"/>
        </w:rPr>
        <w:t> (the triple burner), the digestive system in physiology, and the tradition of self-nourishment were reintegrated as a hybrid form of bodily knowledge about digestion, absorption and inner vitality. This paper then turns to the everyday practices that embodied these understandings. Labeled as “hygienic products”, tonics and medicines promising to regulate diet and enhance overall vitality appeared in China, alongside dietary books and scenarios of food experiments in science fiction. By analyzing these interesting (mis-)interpretations of hygiene, this paper reveals the unexpected connections between hygiene and the body at the level of everyday individual practice. </w:t>
      </w:r>
    </w:p>
    <w:p w14:paraId="0B952F91" w14:textId="77777777" w:rsidR="007763D7" w:rsidRDefault="007763D7" w:rsidP="00AF774A">
      <w:pPr>
        <w:spacing w:after="240" w:line="360" w:lineRule="auto"/>
        <w:jc w:val="center"/>
        <w:rPr>
          <w:rFonts w:ascii="Century Gothic" w:hAnsi="Century Gothic"/>
          <w:b/>
          <w:bCs/>
          <w:i/>
          <w:iCs/>
          <w:sz w:val="18"/>
          <w:szCs w:val="18"/>
        </w:rPr>
      </w:pPr>
    </w:p>
    <w:p w14:paraId="35161808" w14:textId="0319B082" w:rsidR="00C70EBF" w:rsidRPr="00C70EBF" w:rsidRDefault="00C70EBF" w:rsidP="00AF774A">
      <w:pPr>
        <w:spacing w:after="240" w:line="360" w:lineRule="auto"/>
        <w:jc w:val="center"/>
        <w:rPr>
          <w:rFonts w:ascii="Century Gothic" w:hAnsi="Century Gothic"/>
          <w:b/>
          <w:bCs/>
          <w:i/>
          <w:iCs/>
          <w:sz w:val="18"/>
          <w:szCs w:val="18"/>
        </w:rPr>
      </w:pPr>
      <w:r w:rsidRPr="00C70EBF">
        <w:rPr>
          <w:rFonts w:ascii="Century Gothic" w:hAnsi="Century Gothic"/>
          <w:b/>
          <w:bCs/>
          <w:i/>
          <w:iCs/>
          <w:sz w:val="18"/>
          <w:szCs w:val="18"/>
        </w:rPr>
        <w:t>Panel 8: Bodies Politic</w:t>
      </w:r>
    </w:p>
    <w:p w14:paraId="2BA4C41C" w14:textId="77777777" w:rsidR="00C70EBF" w:rsidRPr="00254A2C" w:rsidRDefault="00C70EBF" w:rsidP="00AF774A">
      <w:pPr>
        <w:spacing w:after="240" w:line="360" w:lineRule="auto"/>
        <w:rPr>
          <w:rFonts w:ascii="Century Gothic" w:hAnsi="Century Gothic"/>
          <w:b/>
          <w:bCs/>
          <w:sz w:val="18"/>
          <w:szCs w:val="18"/>
        </w:rPr>
      </w:pPr>
      <w:r w:rsidRPr="00254A2C">
        <w:rPr>
          <w:rFonts w:ascii="Century Gothic" w:hAnsi="Century Gothic"/>
          <w:b/>
          <w:bCs/>
          <w:sz w:val="18"/>
          <w:szCs w:val="18"/>
        </w:rPr>
        <w:t>'Running Bodies, Remembered Nations: Nostalgia, Embodiment, and Sporting Identity in Modern Japan' (Ziwei (Jade) Xuan, University of Edinburgh)</w:t>
      </w:r>
    </w:p>
    <w:p w14:paraId="6B043628" w14:textId="358A3634" w:rsidR="00C70EBF" w:rsidRPr="00C70EBF" w:rsidRDefault="007763D7" w:rsidP="00AF774A">
      <w:pPr>
        <w:spacing w:after="240" w:line="360" w:lineRule="auto"/>
        <w:rPr>
          <w:rFonts w:ascii="Century Gothic" w:hAnsi="Century Gothic"/>
          <w:sz w:val="18"/>
          <w:szCs w:val="18"/>
        </w:rPr>
      </w:pPr>
      <w:r w:rsidRPr="007763D7">
        <w:rPr>
          <w:rFonts w:ascii="Century Gothic" w:hAnsi="Century Gothic"/>
          <w:sz w:val="18"/>
          <w:szCs w:val="18"/>
        </w:rPr>
        <w:t>What does a body running remember? This paper examines Japanese distance running culture as a site where competing visions of national selfhood are inscribed onto, performed through, and contested by the running body. Drawing on Davis and Boym's typologies of restorative and reflective nostalgia, it traces how the Japanese state has historically disciplined the running body in service of national narratives — from Shizō Kanakuri's mythologised disappearance at the 1912 Stockholm Olympics, through the spectacular torch relay of the 1964 Tokyo Games, to the Hakone Ekiden's institutionalisation of collective bodily endurance as a rite of national belonging. Against these state-sanctioned regimes of embodied memory, it then reads Murakami Haruki's memoir </w:t>
      </w:r>
      <w:r w:rsidRPr="007763D7">
        <w:rPr>
          <w:rFonts w:ascii="Century Gothic" w:hAnsi="Century Gothic"/>
          <w:i/>
          <w:iCs/>
          <w:sz w:val="18"/>
          <w:szCs w:val="18"/>
        </w:rPr>
        <w:t>What I Talk About When I Talk About Running</w:t>
      </w:r>
      <w:r w:rsidRPr="007763D7">
        <w:rPr>
          <w:rFonts w:ascii="Century Gothic" w:hAnsi="Century Gothic"/>
          <w:sz w:val="18"/>
          <w:szCs w:val="18"/>
        </w:rPr>
        <w:t xml:space="preserve"> (2007) as articulating a radically different phenomenology of the running body — one defined by solitude, ageing, and the deliberate pursuit of mental void. Where restorative nostalgia recruits the body as a vessel for collective continuity, Murakami's reflective mode reclaims it as a site of private, irreducibly individual experience. By reading </w:t>
      </w:r>
      <w:r w:rsidRPr="007763D7">
        <w:rPr>
          <w:rFonts w:ascii="Century Gothic" w:hAnsi="Century Gothic"/>
          <w:sz w:val="18"/>
          <w:szCs w:val="18"/>
        </w:rPr>
        <w:lastRenderedPageBreak/>
        <w:t>sporting embodiment through the lens of nostalgia, this paper proposes a framework for understanding how bodies in motion carry — and resist — the weight of national memory.</w:t>
      </w:r>
    </w:p>
    <w:p w14:paraId="6030749F" w14:textId="77777777" w:rsidR="00254A2C" w:rsidRPr="00254A2C" w:rsidRDefault="00C70EBF" w:rsidP="00AF774A">
      <w:pPr>
        <w:spacing w:after="240" w:line="360" w:lineRule="auto"/>
        <w:rPr>
          <w:rFonts w:ascii="Century Gothic" w:hAnsi="Century Gothic"/>
          <w:b/>
          <w:bCs/>
          <w:sz w:val="18"/>
          <w:szCs w:val="18"/>
        </w:rPr>
      </w:pPr>
      <w:r w:rsidRPr="00254A2C">
        <w:rPr>
          <w:rFonts w:ascii="Century Gothic" w:hAnsi="Century Gothic"/>
          <w:b/>
          <w:bCs/>
          <w:sz w:val="18"/>
          <w:szCs w:val="18"/>
        </w:rPr>
        <w:t>'Le Cartel des Quatre: Theatre, Politics, and Actor Training in Interwar Paris' (Jonathan McAllister, University of Cambridge)</w:t>
      </w:r>
    </w:p>
    <w:p w14:paraId="0EE6A469" w14:textId="5A6D1E0E" w:rsidR="00254A2C" w:rsidRPr="00254A2C" w:rsidRDefault="00254A2C" w:rsidP="00254A2C">
      <w:pPr>
        <w:spacing w:after="240" w:line="360" w:lineRule="auto"/>
        <w:rPr>
          <w:rFonts w:ascii="Century Gothic" w:hAnsi="Century Gothic"/>
          <w:sz w:val="18"/>
          <w:szCs w:val="18"/>
        </w:rPr>
      </w:pPr>
      <w:r w:rsidRPr="00254A2C">
        <w:rPr>
          <w:rFonts w:ascii="Century Gothic" w:hAnsi="Century Gothic"/>
          <w:sz w:val="18"/>
          <w:szCs w:val="18"/>
        </w:rPr>
        <w:t>In the decades following the First World War, theatre directors and political activists across</w:t>
      </w:r>
      <w:r>
        <w:rPr>
          <w:rFonts w:ascii="Century Gothic" w:hAnsi="Century Gothic"/>
          <w:sz w:val="18"/>
          <w:szCs w:val="18"/>
        </w:rPr>
        <w:t xml:space="preserve"> </w:t>
      </w:r>
      <w:r w:rsidRPr="00254A2C">
        <w:rPr>
          <w:rFonts w:ascii="Century Gothic" w:hAnsi="Century Gothic"/>
          <w:sz w:val="18"/>
          <w:szCs w:val="18"/>
        </w:rPr>
        <w:t>Europe shared the conviction that by disciplining the body they could transform social</w:t>
      </w:r>
      <w:r>
        <w:rPr>
          <w:rFonts w:ascii="Century Gothic" w:hAnsi="Century Gothic"/>
          <w:sz w:val="18"/>
          <w:szCs w:val="18"/>
        </w:rPr>
        <w:t xml:space="preserve"> </w:t>
      </w:r>
      <w:r w:rsidRPr="00254A2C">
        <w:rPr>
          <w:rFonts w:ascii="Century Gothic" w:hAnsi="Century Gothic"/>
          <w:sz w:val="18"/>
          <w:szCs w:val="18"/>
        </w:rPr>
        <w:t>behaviours and interactions through creating what they termed ‘new men’. The four actor-directors of the Cartel de Quatre in Paris – Louis Jouvet, Charles Dullin, Gaston Baty, and</w:t>
      </w:r>
      <w:r>
        <w:rPr>
          <w:rFonts w:ascii="Century Gothic" w:hAnsi="Century Gothic"/>
          <w:sz w:val="18"/>
          <w:szCs w:val="18"/>
        </w:rPr>
        <w:t xml:space="preserve"> </w:t>
      </w:r>
      <w:r w:rsidRPr="00254A2C">
        <w:rPr>
          <w:rFonts w:ascii="Century Gothic" w:hAnsi="Century Gothic"/>
          <w:sz w:val="18"/>
          <w:szCs w:val="18"/>
        </w:rPr>
        <w:t>Georges Pitoëff – pursued a reforming mission to educate actors in innovative bodily</w:t>
      </w:r>
      <w:r>
        <w:rPr>
          <w:rFonts w:ascii="Century Gothic" w:hAnsi="Century Gothic"/>
          <w:sz w:val="18"/>
          <w:szCs w:val="18"/>
        </w:rPr>
        <w:t xml:space="preserve"> </w:t>
      </w:r>
      <w:r w:rsidRPr="00254A2C">
        <w:rPr>
          <w:rFonts w:ascii="Century Gothic" w:hAnsi="Century Gothic"/>
          <w:sz w:val="18"/>
          <w:szCs w:val="18"/>
        </w:rPr>
        <w:t>techniques, drawing on international actor-training developments to create performers</w:t>
      </w:r>
      <w:r>
        <w:rPr>
          <w:rFonts w:ascii="Century Gothic" w:hAnsi="Century Gothic"/>
          <w:sz w:val="18"/>
          <w:szCs w:val="18"/>
        </w:rPr>
        <w:t xml:space="preserve"> </w:t>
      </w:r>
      <w:r w:rsidRPr="00254A2C">
        <w:rPr>
          <w:rFonts w:ascii="Century Gothic" w:hAnsi="Century Gothic"/>
          <w:sz w:val="18"/>
          <w:szCs w:val="18"/>
        </w:rPr>
        <w:t>capable of articulating emerging forms of social relations. Simultaneously, European states</w:t>
      </w:r>
      <w:r>
        <w:rPr>
          <w:rFonts w:ascii="Century Gothic" w:hAnsi="Century Gothic"/>
          <w:sz w:val="18"/>
          <w:szCs w:val="18"/>
        </w:rPr>
        <w:t xml:space="preserve"> </w:t>
      </w:r>
      <w:r w:rsidRPr="00254A2C">
        <w:rPr>
          <w:rFonts w:ascii="Century Gothic" w:hAnsi="Century Gothic"/>
          <w:sz w:val="18"/>
          <w:szCs w:val="18"/>
        </w:rPr>
        <w:t>and political activists used policy and propaganda – underpinned by the competing ideologies</w:t>
      </w:r>
      <w:r>
        <w:rPr>
          <w:rFonts w:ascii="Century Gothic" w:hAnsi="Century Gothic"/>
          <w:sz w:val="18"/>
          <w:szCs w:val="18"/>
        </w:rPr>
        <w:t xml:space="preserve"> </w:t>
      </w:r>
      <w:r w:rsidRPr="00254A2C">
        <w:rPr>
          <w:rFonts w:ascii="Century Gothic" w:hAnsi="Century Gothic"/>
          <w:sz w:val="18"/>
          <w:szCs w:val="18"/>
        </w:rPr>
        <w:t>of fascism, communism, and liberalism – to promote sociopolitical activities that unified</w:t>
      </w:r>
      <w:r>
        <w:rPr>
          <w:rFonts w:ascii="Century Gothic" w:hAnsi="Century Gothic"/>
          <w:sz w:val="18"/>
          <w:szCs w:val="18"/>
        </w:rPr>
        <w:t xml:space="preserve"> </w:t>
      </w:r>
      <w:r w:rsidRPr="00254A2C">
        <w:rPr>
          <w:rFonts w:ascii="Century Gothic" w:hAnsi="Century Gothic"/>
          <w:sz w:val="18"/>
          <w:szCs w:val="18"/>
        </w:rPr>
        <w:t>communities amid widespread economic insecurity and democratic failure. This paper will</w:t>
      </w:r>
      <w:r>
        <w:rPr>
          <w:rFonts w:ascii="Century Gothic" w:hAnsi="Century Gothic"/>
          <w:sz w:val="18"/>
          <w:szCs w:val="18"/>
        </w:rPr>
        <w:t xml:space="preserve"> </w:t>
      </w:r>
      <w:r w:rsidRPr="00254A2C">
        <w:rPr>
          <w:rFonts w:ascii="Century Gothic" w:hAnsi="Century Gothic"/>
          <w:sz w:val="18"/>
          <w:szCs w:val="18"/>
        </w:rPr>
        <w:t>outline how the Cartel’s training disciplines of the 1920s and 1930s expressed affinities with</w:t>
      </w:r>
      <w:r>
        <w:rPr>
          <w:rFonts w:ascii="Century Gothic" w:hAnsi="Century Gothic"/>
          <w:sz w:val="18"/>
          <w:szCs w:val="18"/>
        </w:rPr>
        <w:t xml:space="preserve"> </w:t>
      </w:r>
      <w:r w:rsidRPr="00254A2C">
        <w:rPr>
          <w:rFonts w:ascii="Century Gothic" w:hAnsi="Century Gothic"/>
          <w:sz w:val="18"/>
          <w:szCs w:val="18"/>
        </w:rPr>
        <w:t>and resistances to this politicisation of the body in interwar Europe, showing how their acting</w:t>
      </w:r>
      <w:r>
        <w:rPr>
          <w:rFonts w:ascii="Century Gothic" w:hAnsi="Century Gothic"/>
          <w:sz w:val="18"/>
          <w:szCs w:val="18"/>
        </w:rPr>
        <w:t xml:space="preserve"> </w:t>
      </w:r>
      <w:r w:rsidRPr="00254A2C">
        <w:rPr>
          <w:rFonts w:ascii="Century Gothic" w:hAnsi="Century Gothic"/>
          <w:sz w:val="18"/>
          <w:szCs w:val="18"/>
        </w:rPr>
        <w:t>styles converged with and diverged from four interconnected domains of sociopolitical activity:</w:t>
      </w:r>
      <w:r>
        <w:rPr>
          <w:rFonts w:ascii="Century Gothic" w:hAnsi="Century Gothic"/>
          <w:sz w:val="18"/>
          <w:szCs w:val="18"/>
        </w:rPr>
        <w:t xml:space="preserve"> p</w:t>
      </w:r>
      <w:r w:rsidRPr="00254A2C">
        <w:rPr>
          <w:rFonts w:ascii="Century Gothic" w:hAnsi="Century Gothic"/>
          <w:sz w:val="18"/>
          <w:szCs w:val="18"/>
        </w:rPr>
        <w:t>erformance techniques, sports exercises, labour training, and military discipline. Ultimately,</w:t>
      </w:r>
      <w:r>
        <w:rPr>
          <w:rFonts w:ascii="Century Gothic" w:hAnsi="Century Gothic"/>
          <w:sz w:val="18"/>
          <w:szCs w:val="18"/>
        </w:rPr>
        <w:t xml:space="preserve"> </w:t>
      </w:r>
      <w:r w:rsidRPr="00254A2C">
        <w:rPr>
          <w:rFonts w:ascii="Century Gothic" w:hAnsi="Century Gothic"/>
          <w:sz w:val="18"/>
          <w:szCs w:val="18"/>
        </w:rPr>
        <w:t>the paper will argue for conceptualising the Cartel’s actor-training regimes as sites where</w:t>
      </w:r>
      <w:r>
        <w:rPr>
          <w:rFonts w:ascii="Century Gothic" w:hAnsi="Century Gothic"/>
          <w:sz w:val="18"/>
          <w:szCs w:val="18"/>
        </w:rPr>
        <w:t xml:space="preserve"> </w:t>
      </w:r>
      <w:r w:rsidRPr="00254A2C">
        <w:rPr>
          <w:rFonts w:ascii="Century Gothic" w:hAnsi="Century Gothic"/>
          <w:sz w:val="18"/>
          <w:szCs w:val="18"/>
        </w:rPr>
        <w:t>these four actor-directors negotiated the political, cultural, and aesthetic construction of bodies</w:t>
      </w:r>
      <w:r>
        <w:rPr>
          <w:rFonts w:ascii="Century Gothic" w:hAnsi="Century Gothic"/>
          <w:sz w:val="18"/>
          <w:szCs w:val="18"/>
        </w:rPr>
        <w:t xml:space="preserve"> </w:t>
      </w:r>
      <w:r w:rsidRPr="00254A2C">
        <w:rPr>
          <w:rFonts w:ascii="Century Gothic" w:hAnsi="Century Gothic"/>
          <w:sz w:val="18"/>
          <w:szCs w:val="18"/>
        </w:rPr>
        <w:t>during a period of intense sociopolitical crisis in Europe.</w:t>
      </w:r>
    </w:p>
    <w:p w14:paraId="39A1267F" w14:textId="60F98A03" w:rsidR="00C70EBF" w:rsidRDefault="00C70EBF" w:rsidP="00AF774A">
      <w:pPr>
        <w:spacing w:after="240" w:line="360" w:lineRule="auto"/>
        <w:rPr>
          <w:rFonts w:ascii="Century Gothic" w:hAnsi="Century Gothic"/>
          <w:sz w:val="18"/>
          <w:szCs w:val="18"/>
        </w:rPr>
      </w:pPr>
      <w:r>
        <w:rPr>
          <w:rFonts w:ascii="Century Gothic" w:hAnsi="Century Gothic"/>
          <w:sz w:val="18"/>
          <w:szCs w:val="18"/>
        </w:rPr>
        <w:br w:type="page"/>
      </w:r>
    </w:p>
    <w:p w14:paraId="75C48BA8" w14:textId="77777777" w:rsidR="00C70EBF" w:rsidRDefault="00C70EBF" w:rsidP="00AF774A">
      <w:pPr>
        <w:spacing w:after="240"/>
        <w:rPr>
          <w:rFonts w:ascii="Century Gothic" w:hAnsi="Century Gothic"/>
          <w:sz w:val="18"/>
          <w:szCs w:val="18"/>
        </w:rPr>
      </w:pPr>
    </w:p>
    <w:p w14:paraId="20F7E9B7" w14:textId="3F4A8AAA" w:rsidR="00C70EBF" w:rsidRPr="00C70EBF" w:rsidRDefault="00C70EBF" w:rsidP="00AF774A">
      <w:pPr>
        <w:spacing w:after="240" w:line="360" w:lineRule="auto"/>
        <w:jc w:val="center"/>
        <w:rPr>
          <w:rFonts w:ascii="Century Gothic" w:hAnsi="Century Gothic"/>
          <w:b/>
          <w:bCs/>
          <w:sz w:val="22"/>
          <w:szCs w:val="22"/>
        </w:rPr>
      </w:pPr>
      <w:r>
        <w:rPr>
          <w:rFonts w:ascii="Century Gothic" w:hAnsi="Century Gothic"/>
          <w:b/>
          <w:bCs/>
          <w:sz w:val="22"/>
          <w:szCs w:val="22"/>
        </w:rPr>
        <w:t>Speaker Contacts</w:t>
      </w:r>
    </w:p>
    <w:p w14:paraId="61CDDC1B" w14:textId="77777777" w:rsidR="00C70EBF" w:rsidRDefault="00C70EBF" w:rsidP="00AF774A">
      <w:pPr>
        <w:spacing w:after="240" w:line="360" w:lineRule="auto"/>
        <w:jc w:val="center"/>
        <w:rPr>
          <w:rFonts w:ascii="Century Gothic" w:hAnsi="Century Gothic"/>
          <w:sz w:val="22"/>
          <w:szCs w:val="22"/>
        </w:rPr>
      </w:pPr>
    </w:p>
    <w:p w14:paraId="55C7B767" w14:textId="02DDDEF6" w:rsidR="00C70EBF" w:rsidRPr="00C70EBF" w:rsidRDefault="00C70EBF" w:rsidP="002C2ADE">
      <w:pPr>
        <w:spacing w:line="360" w:lineRule="auto"/>
        <w:rPr>
          <w:rFonts w:ascii="Century Gothic" w:hAnsi="Century Gothic"/>
          <w:b/>
          <w:bCs/>
          <w:i/>
          <w:iCs/>
          <w:sz w:val="18"/>
          <w:szCs w:val="18"/>
        </w:rPr>
      </w:pPr>
      <w:r w:rsidRPr="00C70EBF">
        <w:rPr>
          <w:rFonts w:ascii="Century Gothic" w:hAnsi="Century Gothic"/>
          <w:b/>
          <w:bCs/>
          <w:i/>
          <w:iCs/>
          <w:sz w:val="18"/>
          <w:szCs w:val="18"/>
        </w:rPr>
        <w:t>Convenors</w:t>
      </w:r>
    </w:p>
    <w:p w14:paraId="7BC7AD56" w14:textId="2F7A5381" w:rsidR="00E3456F" w:rsidRDefault="00E3456F" w:rsidP="002C2ADE">
      <w:pPr>
        <w:spacing w:line="360" w:lineRule="auto"/>
        <w:rPr>
          <w:rFonts w:ascii="Century Gothic" w:hAnsi="Century Gothic"/>
          <w:sz w:val="18"/>
          <w:szCs w:val="18"/>
        </w:rPr>
      </w:pPr>
      <w:r>
        <w:rPr>
          <w:rFonts w:ascii="Century Gothic" w:hAnsi="Century Gothic"/>
          <w:sz w:val="18"/>
          <w:szCs w:val="18"/>
        </w:rPr>
        <w:t xml:space="preserve">Helena C. Aeberli </w:t>
      </w:r>
      <w:r w:rsidR="00E238AF">
        <w:rPr>
          <w:rFonts w:ascii="Century Gothic" w:hAnsi="Century Gothic"/>
          <w:sz w:val="18"/>
          <w:szCs w:val="18"/>
        </w:rPr>
        <w:t xml:space="preserve">(she/her) </w:t>
      </w:r>
      <w:hyperlink r:id="rId10" w:history="1">
        <w:r w:rsidR="00E238AF" w:rsidRPr="005D1AA9">
          <w:rPr>
            <w:rStyle w:val="Hyperlink"/>
            <w:rFonts w:ascii="Century Gothic" w:hAnsi="Century Gothic"/>
            <w:sz w:val="18"/>
            <w:szCs w:val="18"/>
          </w:rPr>
          <w:t>helena.aeberli@magd.ox.ac.uk</w:t>
        </w:r>
      </w:hyperlink>
      <w:r>
        <w:rPr>
          <w:rFonts w:ascii="Century Gothic" w:hAnsi="Century Gothic"/>
          <w:sz w:val="18"/>
          <w:szCs w:val="18"/>
        </w:rPr>
        <w:t xml:space="preserve"> </w:t>
      </w:r>
    </w:p>
    <w:p w14:paraId="2AD0B43A" w14:textId="5FF3CBBE"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Emilia Stuchlik</w:t>
      </w:r>
      <w:r w:rsidR="00E238AF">
        <w:rPr>
          <w:rFonts w:ascii="Century Gothic" w:hAnsi="Century Gothic"/>
          <w:sz w:val="18"/>
          <w:szCs w:val="18"/>
        </w:rPr>
        <w:t xml:space="preserve"> (she/her)</w:t>
      </w:r>
      <w:r w:rsidRPr="00E3456F">
        <w:rPr>
          <w:rFonts w:ascii="Century Gothic" w:hAnsi="Century Gothic"/>
          <w:sz w:val="18"/>
          <w:szCs w:val="18"/>
        </w:rPr>
        <w:t xml:space="preserve"> </w:t>
      </w:r>
      <w:hyperlink r:id="rId11" w:history="1">
        <w:r w:rsidRPr="005D1AA9">
          <w:rPr>
            <w:rStyle w:val="Hyperlink"/>
            <w:rFonts w:ascii="Century Gothic" w:hAnsi="Century Gothic"/>
            <w:sz w:val="18"/>
            <w:szCs w:val="18"/>
          </w:rPr>
          <w:t>emilia.stuchlik@lincoln.ox.ac.uk</w:t>
        </w:r>
      </w:hyperlink>
    </w:p>
    <w:p w14:paraId="2334B2D6" w14:textId="3181F50B"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 xml:space="preserve">Orestis Tzirtzilakis </w:t>
      </w:r>
      <w:r w:rsidR="00E238AF">
        <w:rPr>
          <w:rFonts w:ascii="Century Gothic" w:hAnsi="Century Gothic"/>
          <w:sz w:val="18"/>
          <w:szCs w:val="18"/>
        </w:rPr>
        <w:t xml:space="preserve">(he/him) </w:t>
      </w:r>
      <w:hyperlink r:id="rId12" w:history="1">
        <w:r w:rsidR="00E238AF" w:rsidRPr="005D1AA9">
          <w:rPr>
            <w:rStyle w:val="Hyperlink"/>
            <w:rFonts w:ascii="Century Gothic" w:hAnsi="Century Gothic"/>
            <w:sz w:val="18"/>
            <w:szCs w:val="18"/>
          </w:rPr>
          <w:t>orestis.tzirtzilakis@merton.ox.ac.uk</w:t>
        </w:r>
      </w:hyperlink>
    </w:p>
    <w:p w14:paraId="1839910A" w14:textId="40EE2B8E"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Julyan Oldham</w:t>
      </w:r>
      <w:r w:rsidR="00E238AF">
        <w:rPr>
          <w:rFonts w:ascii="Century Gothic" w:hAnsi="Century Gothic"/>
          <w:sz w:val="18"/>
          <w:szCs w:val="18"/>
        </w:rPr>
        <w:t xml:space="preserve"> (they/he)</w:t>
      </w:r>
      <w:r w:rsidRPr="00E3456F">
        <w:rPr>
          <w:rFonts w:ascii="Century Gothic" w:hAnsi="Century Gothic"/>
          <w:sz w:val="18"/>
          <w:szCs w:val="18"/>
        </w:rPr>
        <w:t xml:space="preserve"> </w:t>
      </w:r>
      <w:hyperlink r:id="rId13" w:history="1">
        <w:r w:rsidRPr="005D1AA9">
          <w:rPr>
            <w:rStyle w:val="Hyperlink"/>
            <w:rFonts w:ascii="Century Gothic" w:hAnsi="Century Gothic"/>
            <w:sz w:val="18"/>
            <w:szCs w:val="18"/>
          </w:rPr>
          <w:t>julyan.oldham@ell.ox.ac.uk</w:t>
        </w:r>
      </w:hyperlink>
    </w:p>
    <w:p w14:paraId="62E6FCA9" w14:textId="32110D7C"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Chloe Green</w:t>
      </w:r>
      <w:r w:rsidR="00E238AF">
        <w:rPr>
          <w:rFonts w:ascii="Century Gothic" w:hAnsi="Century Gothic"/>
          <w:sz w:val="18"/>
          <w:szCs w:val="18"/>
        </w:rPr>
        <w:t xml:space="preserve"> (she/her)</w:t>
      </w:r>
      <w:r w:rsidRPr="00E3456F">
        <w:rPr>
          <w:rFonts w:ascii="Century Gothic" w:hAnsi="Century Gothic"/>
          <w:sz w:val="18"/>
          <w:szCs w:val="18"/>
        </w:rPr>
        <w:t xml:space="preserve"> </w:t>
      </w:r>
      <w:hyperlink r:id="rId14" w:history="1">
        <w:r w:rsidRPr="005D1AA9">
          <w:rPr>
            <w:rStyle w:val="Hyperlink"/>
            <w:rFonts w:ascii="Century Gothic" w:hAnsi="Century Gothic"/>
            <w:sz w:val="18"/>
            <w:szCs w:val="18"/>
          </w:rPr>
          <w:t>chloe.green@univ.ox.ac.uk</w:t>
        </w:r>
      </w:hyperlink>
    </w:p>
    <w:p w14:paraId="0486D2AE" w14:textId="6B4054B0"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 xml:space="preserve">TORCH </w:t>
      </w:r>
      <w:hyperlink r:id="rId15" w:history="1">
        <w:r w:rsidRPr="005D1AA9">
          <w:rPr>
            <w:rStyle w:val="Hyperlink"/>
            <w:rFonts w:ascii="Century Gothic" w:hAnsi="Century Gothic"/>
            <w:sz w:val="18"/>
            <w:szCs w:val="18"/>
          </w:rPr>
          <w:t>torch@humanities.ox.ac.uk</w:t>
        </w:r>
      </w:hyperlink>
      <w:r>
        <w:rPr>
          <w:rFonts w:ascii="Century Gothic" w:hAnsi="Century Gothic"/>
          <w:sz w:val="18"/>
          <w:szCs w:val="18"/>
        </w:rPr>
        <w:t xml:space="preserve"> </w:t>
      </w:r>
    </w:p>
    <w:p w14:paraId="14D0124C" w14:textId="3415270F" w:rsidR="008338FA" w:rsidRDefault="008338FA" w:rsidP="002C2ADE">
      <w:pPr>
        <w:spacing w:line="360" w:lineRule="auto"/>
        <w:rPr>
          <w:rFonts w:ascii="Century Gothic" w:hAnsi="Century Gothic"/>
          <w:sz w:val="18"/>
          <w:szCs w:val="18"/>
        </w:rPr>
      </w:pPr>
      <w:r>
        <w:rPr>
          <w:rFonts w:ascii="Century Gothic" w:hAnsi="Century Gothic"/>
          <w:sz w:val="18"/>
          <w:szCs w:val="18"/>
        </w:rPr>
        <w:t>BIHN</w:t>
      </w:r>
      <w:r w:rsidRPr="008338FA">
        <w:rPr>
          <w:rFonts w:ascii="Century Gothic" w:hAnsi="Century Gothic"/>
          <w:sz w:val="18"/>
          <w:szCs w:val="18"/>
        </w:rPr>
        <w:t> </w:t>
      </w:r>
      <w:hyperlink r:id="rId16" w:history="1">
        <w:r w:rsidRPr="008338FA">
          <w:rPr>
            <w:rStyle w:val="Hyperlink"/>
            <w:rFonts w:ascii="Century Gothic" w:hAnsi="Century Gothic"/>
            <w:sz w:val="18"/>
            <w:szCs w:val="18"/>
          </w:rPr>
          <w:t>bihn@history.ox.ac.uk</w:t>
        </w:r>
      </w:hyperlink>
    </w:p>
    <w:p w14:paraId="5F1A744F" w14:textId="77777777" w:rsidR="00C70EBF" w:rsidRDefault="00C70EBF" w:rsidP="002C2ADE">
      <w:pPr>
        <w:spacing w:line="360" w:lineRule="auto"/>
        <w:rPr>
          <w:rFonts w:ascii="Century Gothic" w:hAnsi="Century Gothic"/>
          <w:sz w:val="18"/>
          <w:szCs w:val="18"/>
        </w:rPr>
      </w:pPr>
    </w:p>
    <w:p w14:paraId="5DF2D4AC" w14:textId="60A9E89D" w:rsidR="00C70EBF" w:rsidRPr="00C70EBF" w:rsidRDefault="00C70EBF" w:rsidP="002C2ADE">
      <w:pPr>
        <w:spacing w:line="360" w:lineRule="auto"/>
        <w:rPr>
          <w:rFonts w:ascii="Century Gothic" w:hAnsi="Century Gothic"/>
          <w:b/>
          <w:bCs/>
          <w:i/>
          <w:iCs/>
          <w:sz w:val="18"/>
          <w:szCs w:val="18"/>
        </w:rPr>
      </w:pPr>
      <w:r w:rsidRPr="00C70EBF">
        <w:rPr>
          <w:rFonts w:ascii="Century Gothic" w:hAnsi="Century Gothic"/>
          <w:b/>
          <w:bCs/>
          <w:i/>
          <w:iCs/>
          <w:sz w:val="18"/>
          <w:szCs w:val="18"/>
        </w:rPr>
        <w:t>Speakers</w:t>
      </w:r>
      <w:r w:rsidR="00E3456F">
        <w:rPr>
          <w:rFonts w:ascii="Century Gothic" w:hAnsi="Century Gothic"/>
          <w:b/>
          <w:bCs/>
          <w:i/>
          <w:iCs/>
          <w:sz w:val="18"/>
          <w:szCs w:val="18"/>
        </w:rPr>
        <w:t xml:space="preserve"> </w:t>
      </w:r>
    </w:p>
    <w:p w14:paraId="0A423932" w14:textId="099F0CA8" w:rsidR="00E3456F" w:rsidRDefault="00634E59" w:rsidP="002C2ADE">
      <w:pPr>
        <w:spacing w:line="360" w:lineRule="auto"/>
        <w:rPr>
          <w:rFonts w:ascii="Century Gothic" w:hAnsi="Century Gothic"/>
          <w:sz w:val="18"/>
          <w:szCs w:val="18"/>
        </w:rPr>
      </w:pPr>
      <w:r>
        <w:rPr>
          <w:rFonts w:ascii="Century Gothic" w:hAnsi="Century Gothic"/>
          <w:sz w:val="18"/>
          <w:szCs w:val="18"/>
        </w:rPr>
        <w:t>Sarah Bremer (she/her)</w:t>
      </w:r>
      <w:r w:rsidR="00E3456F" w:rsidRPr="00E3456F">
        <w:rPr>
          <w:rFonts w:ascii="Century Gothic" w:hAnsi="Century Gothic"/>
          <w:sz w:val="18"/>
          <w:szCs w:val="18"/>
        </w:rPr>
        <w:t xml:space="preserve"> J. </w:t>
      </w:r>
      <w:hyperlink r:id="rId17" w:history="1">
        <w:r w:rsidR="00E3456F" w:rsidRPr="005D1AA9">
          <w:rPr>
            <w:rStyle w:val="Hyperlink"/>
            <w:rFonts w:ascii="Century Gothic" w:hAnsi="Century Gothic"/>
            <w:sz w:val="18"/>
            <w:szCs w:val="18"/>
          </w:rPr>
          <w:t>S.J.Bremer@wlv.ac.uk</w:t>
        </w:r>
      </w:hyperlink>
    </w:p>
    <w:p w14:paraId="02ACEA0C" w14:textId="369C705B" w:rsidR="00E3456F" w:rsidRDefault="00634E59" w:rsidP="002C2ADE">
      <w:pPr>
        <w:spacing w:line="360" w:lineRule="auto"/>
        <w:rPr>
          <w:rFonts w:ascii="Century Gothic" w:hAnsi="Century Gothic"/>
          <w:sz w:val="18"/>
          <w:szCs w:val="18"/>
        </w:rPr>
      </w:pPr>
      <w:r>
        <w:rPr>
          <w:rFonts w:ascii="Century Gothic" w:hAnsi="Century Gothic"/>
          <w:sz w:val="18"/>
          <w:szCs w:val="18"/>
        </w:rPr>
        <w:t>Jade Xuan (she/her)</w:t>
      </w:r>
      <w:r w:rsidR="00E3456F" w:rsidRPr="00E3456F">
        <w:rPr>
          <w:rFonts w:ascii="Century Gothic" w:hAnsi="Century Gothic"/>
          <w:sz w:val="18"/>
          <w:szCs w:val="18"/>
        </w:rPr>
        <w:t xml:space="preserve"> </w:t>
      </w:r>
      <w:hyperlink r:id="rId18" w:history="1">
        <w:r w:rsidR="00E3456F" w:rsidRPr="005D1AA9">
          <w:rPr>
            <w:rStyle w:val="Hyperlink"/>
            <w:rFonts w:ascii="Century Gothic" w:hAnsi="Century Gothic"/>
            <w:sz w:val="18"/>
            <w:szCs w:val="18"/>
          </w:rPr>
          <w:t>jadexuanuoe@outlook.com</w:t>
        </w:r>
      </w:hyperlink>
    </w:p>
    <w:p w14:paraId="43200A2E" w14:textId="268F0E83" w:rsidR="00E3456F" w:rsidRDefault="00634E59" w:rsidP="002C2ADE">
      <w:pPr>
        <w:spacing w:line="360" w:lineRule="auto"/>
        <w:rPr>
          <w:rFonts w:ascii="Century Gothic" w:hAnsi="Century Gothic"/>
          <w:sz w:val="18"/>
          <w:szCs w:val="18"/>
        </w:rPr>
      </w:pPr>
      <w:r>
        <w:rPr>
          <w:rFonts w:ascii="Century Gothic" w:hAnsi="Century Gothic"/>
          <w:sz w:val="18"/>
          <w:szCs w:val="18"/>
        </w:rPr>
        <w:t>Hanne</w:t>
      </w:r>
      <w:r w:rsidR="00E3456F" w:rsidRPr="00E3456F">
        <w:rPr>
          <w:rFonts w:ascii="Century Gothic" w:hAnsi="Century Gothic"/>
          <w:sz w:val="18"/>
          <w:szCs w:val="18"/>
        </w:rPr>
        <w:t xml:space="preserve"> Berends</w:t>
      </w:r>
      <w:r>
        <w:rPr>
          <w:rFonts w:ascii="Century Gothic" w:hAnsi="Century Gothic"/>
          <w:sz w:val="18"/>
          <w:szCs w:val="18"/>
        </w:rPr>
        <w:t>e (she/her)</w:t>
      </w:r>
      <w:r w:rsidR="00E3456F" w:rsidRPr="00E3456F">
        <w:rPr>
          <w:rFonts w:ascii="Century Gothic" w:hAnsi="Century Gothic"/>
          <w:sz w:val="18"/>
          <w:szCs w:val="18"/>
        </w:rPr>
        <w:t xml:space="preserve"> </w:t>
      </w:r>
      <w:hyperlink r:id="rId19" w:history="1">
        <w:r w:rsidR="00E3456F" w:rsidRPr="005D1AA9">
          <w:rPr>
            <w:rStyle w:val="Hyperlink"/>
            <w:rFonts w:ascii="Century Gothic" w:hAnsi="Century Gothic"/>
            <w:sz w:val="18"/>
            <w:szCs w:val="18"/>
          </w:rPr>
          <w:t>Hanne.Berendse@uibk.ac.at</w:t>
        </w:r>
      </w:hyperlink>
    </w:p>
    <w:p w14:paraId="143025D1" w14:textId="4A48A12E"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Eli Jeannin</w:t>
      </w:r>
      <w:r w:rsidR="00634E59">
        <w:rPr>
          <w:rFonts w:ascii="Century Gothic" w:hAnsi="Century Gothic"/>
          <w:sz w:val="18"/>
          <w:szCs w:val="18"/>
        </w:rPr>
        <w:t xml:space="preserve"> (they/them)</w:t>
      </w:r>
      <w:r w:rsidRPr="00E3456F">
        <w:rPr>
          <w:rFonts w:ascii="Century Gothic" w:hAnsi="Century Gothic"/>
          <w:sz w:val="18"/>
          <w:szCs w:val="18"/>
        </w:rPr>
        <w:t xml:space="preserve"> </w:t>
      </w:r>
      <w:hyperlink r:id="rId20" w:history="1">
        <w:r w:rsidRPr="005D1AA9">
          <w:rPr>
            <w:rStyle w:val="Hyperlink"/>
            <w:rFonts w:ascii="Century Gothic" w:hAnsi="Century Gothic"/>
            <w:sz w:val="18"/>
            <w:szCs w:val="18"/>
          </w:rPr>
          <w:t>lily.jeannin.bourse@gmail.com</w:t>
        </w:r>
      </w:hyperlink>
    </w:p>
    <w:p w14:paraId="250E501D" w14:textId="19A2493A"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 xml:space="preserve">Seonaid Anthoney </w:t>
      </w:r>
      <w:hyperlink r:id="rId21" w:history="1">
        <w:r w:rsidRPr="005D1AA9">
          <w:rPr>
            <w:rStyle w:val="Hyperlink"/>
            <w:rFonts w:ascii="Century Gothic" w:hAnsi="Century Gothic"/>
            <w:sz w:val="18"/>
            <w:szCs w:val="18"/>
          </w:rPr>
          <w:t>seonaidanthoney@gmail.com</w:t>
        </w:r>
      </w:hyperlink>
    </w:p>
    <w:p w14:paraId="0AF90E16" w14:textId="5A32A209"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 xml:space="preserve">Yang Zhang </w:t>
      </w:r>
      <w:hyperlink r:id="rId22" w:history="1">
        <w:r w:rsidRPr="005D1AA9">
          <w:rPr>
            <w:rStyle w:val="Hyperlink"/>
            <w:rFonts w:ascii="Century Gothic" w:hAnsi="Century Gothic"/>
            <w:sz w:val="18"/>
            <w:szCs w:val="18"/>
          </w:rPr>
          <w:t>Y.Zhang5@leeds.ac.uk</w:t>
        </w:r>
      </w:hyperlink>
    </w:p>
    <w:p w14:paraId="2B3A4EFC" w14:textId="7FC9905C"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Finn Manders</w:t>
      </w:r>
      <w:r w:rsidR="00634E59">
        <w:rPr>
          <w:rFonts w:ascii="Century Gothic" w:hAnsi="Century Gothic"/>
          <w:sz w:val="18"/>
          <w:szCs w:val="18"/>
        </w:rPr>
        <w:t xml:space="preserve"> (she/her)</w:t>
      </w:r>
      <w:r w:rsidRPr="00E3456F">
        <w:rPr>
          <w:rFonts w:ascii="Century Gothic" w:hAnsi="Century Gothic"/>
          <w:sz w:val="18"/>
          <w:szCs w:val="18"/>
        </w:rPr>
        <w:t xml:space="preserve"> </w:t>
      </w:r>
      <w:hyperlink r:id="rId23" w:history="1">
        <w:r w:rsidRPr="005D1AA9">
          <w:rPr>
            <w:rStyle w:val="Hyperlink"/>
            <w:rFonts w:ascii="Century Gothic" w:hAnsi="Century Gothic"/>
            <w:sz w:val="18"/>
            <w:szCs w:val="18"/>
          </w:rPr>
          <w:t>finnella.manders.23@ucl.ac.uk</w:t>
        </w:r>
      </w:hyperlink>
    </w:p>
    <w:p w14:paraId="1BC86EF2" w14:textId="51370C6C"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Linda Kvitkina</w:t>
      </w:r>
      <w:r w:rsidR="00140835">
        <w:rPr>
          <w:rFonts w:ascii="Century Gothic" w:hAnsi="Century Gothic"/>
          <w:sz w:val="18"/>
          <w:szCs w:val="18"/>
        </w:rPr>
        <w:t xml:space="preserve"> (she/her)</w:t>
      </w:r>
      <w:r w:rsidRPr="00E3456F">
        <w:rPr>
          <w:rFonts w:ascii="Century Gothic" w:hAnsi="Century Gothic"/>
          <w:sz w:val="18"/>
          <w:szCs w:val="18"/>
        </w:rPr>
        <w:t xml:space="preserve"> </w:t>
      </w:r>
      <w:hyperlink r:id="rId24" w:history="1">
        <w:r w:rsidRPr="005D1AA9">
          <w:rPr>
            <w:rStyle w:val="Hyperlink"/>
            <w:rFonts w:ascii="Century Gothic" w:hAnsi="Century Gothic"/>
            <w:sz w:val="18"/>
            <w:szCs w:val="18"/>
          </w:rPr>
          <w:t>linda.kvitkina@lmh.ox.ac.uk</w:t>
        </w:r>
      </w:hyperlink>
    </w:p>
    <w:p w14:paraId="62E3B16C" w14:textId="228351C7"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Devon Rosenberger</w:t>
      </w:r>
      <w:r w:rsidR="00140835">
        <w:rPr>
          <w:rFonts w:ascii="Century Gothic" w:hAnsi="Century Gothic"/>
          <w:sz w:val="18"/>
          <w:szCs w:val="18"/>
        </w:rPr>
        <w:t xml:space="preserve"> (she/her)</w:t>
      </w:r>
      <w:r w:rsidRPr="00E3456F">
        <w:rPr>
          <w:rFonts w:ascii="Century Gothic" w:hAnsi="Century Gothic"/>
          <w:sz w:val="18"/>
          <w:szCs w:val="18"/>
        </w:rPr>
        <w:t xml:space="preserve"> </w:t>
      </w:r>
      <w:hyperlink r:id="rId25" w:history="1">
        <w:r w:rsidRPr="005D1AA9">
          <w:rPr>
            <w:rStyle w:val="Hyperlink"/>
            <w:rFonts w:ascii="Century Gothic" w:hAnsi="Century Gothic"/>
            <w:sz w:val="18"/>
            <w:szCs w:val="18"/>
          </w:rPr>
          <w:t>devon.rosenberger@spc.ox.ac.uk</w:t>
        </w:r>
      </w:hyperlink>
    </w:p>
    <w:p w14:paraId="6C7D4D34" w14:textId="5419168E"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Ella Sheddick</w:t>
      </w:r>
      <w:r w:rsidR="00140835">
        <w:rPr>
          <w:rFonts w:ascii="Century Gothic" w:hAnsi="Century Gothic"/>
          <w:sz w:val="18"/>
          <w:szCs w:val="18"/>
        </w:rPr>
        <w:t xml:space="preserve"> (she/her)</w:t>
      </w:r>
      <w:r w:rsidRPr="00E3456F">
        <w:rPr>
          <w:rFonts w:ascii="Century Gothic" w:hAnsi="Century Gothic"/>
          <w:sz w:val="18"/>
          <w:szCs w:val="18"/>
        </w:rPr>
        <w:t xml:space="preserve"> </w:t>
      </w:r>
      <w:hyperlink r:id="rId26" w:history="1">
        <w:r w:rsidRPr="005D1AA9">
          <w:rPr>
            <w:rStyle w:val="Hyperlink"/>
            <w:rFonts w:ascii="Century Gothic" w:hAnsi="Century Gothic"/>
            <w:sz w:val="18"/>
            <w:szCs w:val="18"/>
          </w:rPr>
          <w:t>ella.sheddick.25@ucl.ac.uk</w:t>
        </w:r>
      </w:hyperlink>
    </w:p>
    <w:p w14:paraId="640FF6DC" w14:textId="58E87A1C" w:rsidR="00E3456F" w:rsidRDefault="00140835" w:rsidP="002C2ADE">
      <w:pPr>
        <w:spacing w:line="360" w:lineRule="auto"/>
        <w:rPr>
          <w:rFonts w:ascii="Century Gothic" w:hAnsi="Century Gothic"/>
          <w:sz w:val="18"/>
          <w:szCs w:val="18"/>
        </w:rPr>
      </w:pPr>
      <w:r>
        <w:rPr>
          <w:rFonts w:ascii="Century Gothic" w:hAnsi="Century Gothic"/>
          <w:sz w:val="18"/>
          <w:szCs w:val="18"/>
        </w:rPr>
        <w:t>Kerri A</w:t>
      </w:r>
      <w:r w:rsidR="00E3456F" w:rsidRPr="00E3456F">
        <w:rPr>
          <w:rFonts w:ascii="Century Gothic" w:hAnsi="Century Gothic"/>
          <w:sz w:val="18"/>
          <w:szCs w:val="18"/>
        </w:rPr>
        <w:t xml:space="preserve">rmstrong </w:t>
      </w:r>
      <w:hyperlink r:id="rId27" w:history="1">
        <w:r w:rsidR="00E3456F" w:rsidRPr="005D1AA9">
          <w:rPr>
            <w:rStyle w:val="Hyperlink"/>
            <w:rFonts w:ascii="Century Gothic" w:hAnsi="Century Gothic"/>
            <w:sz w:val="18"/>
            <w:szCs w:val="18"/>
          </w:rPr>
          <w:t>kerri.armstrong@northumbria.ac.uk</w:t>
        </w:r>
      </w:hyperlink>
    </w:p>
    <w:p w14:paraId="7542BB3F" w14:textId="010BAADF"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Anna</w:t>
      </w:r>
      <w:r w:rsidR="00140835">
        <w:rPr>
          <w:rFonts w:ascii="Century Gothic" w:hAnsi="Century Gothic"/>
          <w:sz w:val="18"/>
          <w:szCs w:val="18"/>
        </w:rPr>
        <w:t xml:space="preserve"> Mayer (she/her)</w:t>
      </w:r>
      <w:r w:rsidRPr="00E3456F">
        <w:rPr>
          <w:rFonts w:ascii="Century Gothic" w:hAnsi="Century Gothic"/>
          <w:sz w:val="18"/>
          <w:szCs w:val="18"/>
        </w:rPr>
        <w:t xml:space="preserve"> </w:t>
      </w:r>
      <w:hyperlink r:id="rId28" w:history="1">
        <w:r w:rsidRPr="005D1AA9">
          <w:rPr>
            <w:rStyle w:val="Hyperlink"/>
            <w:rFonts w:ascii="Century Gothic" w:hAnsi="Century Gothic"/>
            <w:sz w:val="18"/>
            <w:szCs w:val="18"/>
          </w:rPr>
          <w:t>C2407965@courtauld.ac.uk</w:t>
        </w:r>
      </w:hyperlink>
    </w:p>
    <w:p w14:paraId="192955E6" w14:textId="21192CC6"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 xml:space="preserve">Qiyi Huang </w:t>
      </w:r>
      <w:hyperlink r:id="rId29" w:history="1">
        <w:r w:rsidRPr="005D1AA9">
          <w:rPr>
            <w:rStyle w:val="Hyperlink"/>
            <w:rFonts w:ascii="Century Gothic" w:hAnsi="Century Gothic"/>
            <w:sz w:val="18"/>
            <w:szCs w:val="18"/>
          </w:rPr>
          <w:t>huanq390@newschool.edu</w:t>
        </w:r>
      </w:hyperlink>
    </w:p>
    <w:p w14:paraId="160CA2FD" w14:textId="081FC526"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Ailsa Maxwell</w:t>
      </w:r>
      <w:r w:rsidR="00140835">
        <w:rPr>
          <w:rFonts w:ascii="Century Gothic" w:hAnsi="Century Gothic"/>
          <w:sz w:val="18"/>
          <w:szCs w:val="18"/>
        </w:rPr>
        <w:t xml:space="preserve"> (she/her)</w:t>
      </w:r>
      <w:r w:rsidRPr="00E3456F">
        <w:rPr>
          <w:rFonts w:ascii="Century Gothic" w:hAnsi="Century Gothic"/>
          <w:sz w:val="18"/>
          <w:szCs w:val="18"/>
        </w:rPr>
        <w:t xml:space="preserve"> </w:t>
      </w:r>
      <w:hyperlink r:id="rId30" w:history="1">
        <w:r w:rsidRPr="005D1AA9">
          <w:rPr>
            <w:rStyle w:val="Hyperlink"/>
            <w:rFonts w:ascii="Century Gothic" w:hAnsi="Century Gothic"/>
            <w:sz w:val="18"/>
            <w:szCs w:val="18"/>
          </w:rPr>
          <w:t>ailsa.maxwell@keble.ox.ac.uk</w:t>
        </w:r>
      </w:hyperlink>
    </w:p>
    <w:p w14:paraId="234757A2" w14:textId="24B0E291"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 xml:space="preserve">Jonathan McAllister </w:t>
      </w:r>
      <w:r w:rsidR="00140835">
        <w:rPr>
          <w:rFonts w:ascii="Century Gothic" w:hAnsi="Century Gothic"/>
          <w:sz w:val="18"/>
          <w:szCs w:val="18"/>
        </w:rPr>
        <w:t xml:space="preserve">(he/him) </w:t>
      </w:r>
      <w:hyperlink r:id="rId31" w:history="1">
        <w:r w:rsidR="00140835" w:rsidRPr="005D1AA9">
          <w:rPr>
            <w:rStyle w:val="Hyperlink"/>
            <w:rFonts w:ascii="Century Gothic" w:hAnsi="Century Gothic"/>
            <w:sz w:val="18"/>
            <w:szCs w:val="18"/>
          </w:rPr>
          <w:t>jdm207@cam.ac.uk</w:t>
        </w:r>
      </w:hyperlink>
    </w:p>
    <w:p w14:paraId="59BD9973" w14:textId="26FCD289" w:rsidR="00140835" w:rsidRDefault="00E3456F" w:rsidP="002C2ADE">
      <w:pPr>
        <w:spacing w:line="360" w:lineRule="auto"/>
        <w:rPr>
          <w:rFonts w:ascii="Century Gothic" w:hAnsi="Century Gothic"/>
          <w:sz w:val="18"/>
          <w:szCs w:val="18"/>
        </w:rPr>
      </w:pPr>
      <w:r w:rsidRPr="00E3456F">
        <w:rPr>
          <w:rFonts w:ascii="Century Gothic" w:hAnsi="Century Gothic"/>
          <w:sz w:val="18"/>
          <w:szCs w:val="18"/>
        </w:rPr>
        <w:t>Ma</w:t>
      </w:r>
      <w:r w:rsidR="00140835">
        <w:rPr>
          <w:rFonts w:ascii="Century Gothic" w:hAnsi="Century Gothic"/>
          <w:sz w:val="18"/>
          <w:szCs w:val="18"/>
        </w:rPr>
        <w:t>í</w:t>
      </w:r>
      <w:r w:rsidRPr="00E3456F">
        <w:rPr>
          <w:rFonts w:ascii="Century Gothic" w:hAnsi="Century Gothic"/>
          <w:sz w:val="18"/>
          <w:szCs w:val="18"/>
        </w:rPr>
        <w:t>re Hussey</w:t>
      </w:r>
      <w:r w:rsidR="00140835">
        <w:rPr>
          <w:rFonts w:ascii="Century Gothic" w:hAnsi="Century Gothic"/>
          <w:sz w:val="18"/>
          <w:szCs w:val="18"/>
        </w:rPr>
        <w:t xml:space="preserve"> (she/her)</w:t>
      </w:r>
      <w:r w:rsidRPr="00E3456F">
        <w:rPr>
          <w:rFonts w:ascii="Century Gothic" w:hAnsi="Century Gothic"/>
          <w:sz w:val="18"/>
          <w:szCs w:val="18"/>
        </w:rPr>
        <w:t xml:space="preserve"> </w:t>
      </w:r>
      <w:hyperlink r:id="rId32" w:history="1">
        <w:r w:rsidR="00140835" w:rsidRPr="005D1AA9">
          <w:rPr>
            <w:rStyle w:val="Hyperlink"/>
            <w:rFonts w:ascii="Century Gothic" w:hAnsi="Century Gothic"/>
            <w:sz w:val="18"/>
            <w:szCs w:val="18"/>
          </w:rPr>
          <w:t>mahussey@tcd.ie</w:t>
        </w:r>
      </w:hyperlink>
    </w:p>
    <w:p w14:paraId="0C825862" w14:textId="08A591BF" w:rsidR="00E3456F" w:rsidRDefault="00140835" w:rsidP="002C2ADE">
      <w:pPr>
        <w:spacing w:line="360" w:lineRule="auto"/>
        <w:rPr>
          <w:rFonts w:ascii="Century Gothic" w:hAnsi="Century Gothic"/>
          <w:sz w:val="18"/>
          <w:szCs w:val="18"/>
        </w:rPr>
      </w:pPr>
      <w:r w:rsidRPr="00140835">
        <w:rPr>
          <w:rFonts w:ascii="Century Gothic" w:hAnsi="Century Gothic"/>
          <w:sz w:val="18"/>
          <w:szCs w:val="18"/>
        </w:rPr>
        <w:t>Elisian Eleni Maria Ralli</w:t>
      </w:r>
      <w:r>
        <w:rPr>
          <w:rFonts w:ascii="Century Gothic" w:hAnsi="Century Gothic"/>
          <w:sz w:val="18"/>
          <w:szCs w:val="18"/>
        </w:rPr>
        <w:t xml:space="preserve"> (she/her) </w:t>
      </w:r>
      <w:hyperlink r:id="rId33" w:history="1">
        <w:r w:rsidR="00E3456F" w:rsidRPr="005D1AA9">
          <w:rPr>
            <w:rStyle w:val="Hyperlink"/>
            <w:rFonts w:ascii="Century Gothic" w:hAnsi="Century Gothic"/>
            <w:sz w:val="18"/>
            <w:szCs w:val="18"/>
          </w:rPr>
          <w:t>elisian.ralli@keble.ox.ac.uk</w:t>
        </w:r>
      </w:hyperlink>
    </w:p>
    <w:p w14:paraId="3A0B7D1D" w14:textId="7DE48576" w:rsidR="00E3456F" w:rsidRDefault="00140835" w:rsidP="002C2ADE">
      <w:pPr>
        <w:spacing w:line="360" w:lineRule="auto"/>
        <w:rPr>
          <w:rFonts w:ascii="Century Gothic" w:hAnsi="Century Gothic"/>
          <w:sz w:val="18"/>
          <w:szCs w:val="18"/>
        </w:rPr>
      </w:pPr>
      <w:r>
        <w:rPr>
          <w:rFonts w:ascii="Century Gothic" w:hAnsi="Century Gothic"/>
          <w:sz w:val="18"/>
          <w:szCs w:val="18"/>
        </w:rPr>
        <w:t>Toyin</w:t>
      </w:r>
      <w:r w:rsidR="00E3456F" w:rsidRPr="00E3456F">
        <w:rPr>
          <w:rFonts w:ascii="Century Gothic" w:hAnsi="Century Gothic"/>
          <w:sz w:val="18"/>
          <w:szCs w:val="18"/>
        </w:rPr>
        <w:t xml:space="preserve"> Akinkunmi</w:t>
      </w:r>
      <w:r>
        <w:rPr>
          <w:rFonts w:ascii="Century Gothic" w:hAnsi="Century Gothic"/>
          <w:sz w:val="18"/>
          <w:szCs w:val="18"/>
        </w:rPr>
        <w:t xml:space="preserve"> (she/her)</w:t>
      </w:r>
      <w:r w:rsidR="00E3456F" w:rsidRPr="00E3456F">
        <w:rPr>
          <w:rFonts w:ascii="Century Gothic" w:hAnsi="Century Gothic"/>
          <w:sz w:val="18"/>
          <w:szCs w:val="18"/>
        </w:rPr>
        <w:t xml:space="preserve"> </w:t>
      </w:r>
      <w:hyperlink r:id="rId34" w:history="1">
        <w:r w:rsidR="00E3456F" w:rsidRPr="005D1AA9">
          <w:rPr>
            <w:rStyle w:val="Hyperlink"/>
            <w:rFonts w:ascii="Century Gothic" w:hAnsi="Century Gothic"/>
            <w:sz w:val="18"/>
            <w:szCs w:val="18"/>
          </w:rPr>
          <w:t>ona23@cantab.ac.uk</w:t>
        </w:r>
      </w:hyperlink>
    </w:p>
    <w:p w14:paraId="1BF53A17" w14:textId="6EE699E2"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 xml:space="preserve">Anja Segmuller </w:t>
      </w:r>
      <w:hyperlink r:id="rId35" w:history="1">
        <w:r w:rsidRPr="005D1AA9">
          <w:rPr>
            <w:rStyle w:val="Hyperlink"/>
            <w:rFonts w:ascii="Century Gothic" w:hAnsi="Century Gothic"/>
            <w:sz w:val="18"/>
            <w:szCs w:val="18"/>
          </w:rPr>
          <w:t>anja.segmuller@pmb.ox.ac.uk</w:t>
        </w:r>
      </w:hyperlink>
    </w:p>
    <w:p w14:paraId="63EE0283" w14:textId="0B8A9C38" w:rsidR="00E3456F" w:rsidRDefault="00140835" w:rsidP="002C2ADE">
      <w:pPr>
        <w:spacing w:line="360" w:lineRule="auto"/>
        <w:rPr>
          <w:rFonts w:ascii="Century Gothic" w:hAnsi="Century Gothic"/>
          <w:sz w:val="18"/>
          <w:szCs w:val="18"/>
        </w:rPr>
      </w:pPr>
      <w:r>
        <w:rPr>
          <w:rFonts w:ascii="Century Gothic" w:hAnsi="Century Gothic"/>
          <w:sz w:val="18"/>
          <w:szCs w:val="18"/>
        </w:rPr>
        <w:t>Ge Yang (she/her)</w:t>
      </w:r>
      <w:r w:rsidR="00E3456F" w:rsidRPr="00E3456F">
        <w:rPr>
          <w:rFonts w:ascii="Century Gothic" w:hAnsi="Century Gothic"/>
          <w:sz w:val="18"/>
          <w:szCs w:val="18"/>
        </w:rPr>
        <w:t xml:space="preserve"> </w:t>
      </w:r>
      <w:hyperlink r:id="rId36" w:history="1">
        <w:r w:rsidR="00E3456F" w:rsidRPr="005D1AA9">
          <w:rPr>
            <w:rStyle w:val="Hyperlink"/>
            <w:rFonts w:ascii="Century Gothic" w:hAnsi="Century Gothic"/>
            <w:sz w:val="18"/>
            <w:szCs w:val="18"/>
          </w:rPr>
          <w:t>ge.yang@durham.ac.uk</w:t>
        </w:r>
      </w:hyperlink>
    </w:p>
    <w:p w14:paraId="649C67A3" w14:textId="17637EAC"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 xml:space="preserve">Angeliki Kokkali </w:t>
      </w:r>
      <w:hyperlink r:id="rId37" w:history="1">
        <w:r w:rsidRPr="005D1AA9">
          <w:rPr>
            <w:rStyle w:val="Hyperlink"/>
            <w:rFonts w:ascii="Century Gothic" w:hAnsi="Century Gothic"/>
            <w:sz w:val="18"/>
            <w:szCs w:val="18"/>
          </w:rPr>
          <w:t>Angeliki.Kokkali@glasgow.ac.uk</w:t>
        </w:r>
      </w:hyperlink>
    </w:p>
    <w:p w14:paraId="4AAA320C" w14:textId="024F30BF"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Hannah</w:t>
      </w:r>
      <w:r w:rsidR="00140835">
        <w:rPr>
          <w:rFonts w:ascii="Century Gothic" w:hAnsi="Century Gothic"/>
          <w:sz w:val="18"/>
          <w:szCs w:val="18"/>
        </w:rPr>
        <w:t xml:space="preserve"> Cotterill (she/her)</w:t>
      </w:r>
      <w:r w:rsidRPr="00E3456F">
        <w:rPr>
          <w:rFonts w:ascii="Century Gothic" w:hAnsi="Century Gothic"/>
          <w:sz w:val="18"/>
          <w:szCs w:val="18"/>
        </w:rPr>
        <w:t xml:space="preserve"> </w:t>
      </w:r>
      <w:hyperlink r:id="rId38" w:history="1">
        <w:r w:rsidRPr="005D1AA9">
          <w:rPr>
            <w:rStyle w:val="Hyperlink"/>
            <w:rFonts w:ascii="Century Gothic" w:hAnsi="Century Gothic"/>
            <w:sz w:val="18"/>
            <w:szCs w:val="18"/>
          </w:rPr>
          <w:t>Hannah.Cotterill.2023@live.rhul.ac.uk</w:t>
        </w:r>
      </w:hyperlink>
    </w:p>
    <w:p w14:paraId="5513FE7D" w14:textId="2C4699C8"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Nienke Groskamp</w:t>
      </w:r>
      <w:r w:rsidR="00140835">
        <w:rPr>
          <w:rFonts w:ascii="Century Gothic" w:hAnsi="Century Gothic"/>
          <w:sz w:val="18"/>
          <w:szCs w:val="18"/>
        </w:rPr>
        <w:t xml:space="preserve"> (she/her)</w:t>
      </w:r>
      <w:r w:rsidRPr="00E3456F">
        <w:rPr>
          <w:rFonts w:ascii="Century Gothic" w:hAnsi="Century Gothic"/>
          <w:sz w:val="18"/>
          <w:szCs w:val="18"/>
        </w:rPr>
        <w:t xml:space="preserve"> </w:t>
      </w:r>
      <w:hyperlink r:id="rId39" w:history="1">
        <w:r w:rsidRPr="005D1AA9">
          <w:rPr>
            <w:rStyle w:val="Hyperlink"/>
            <w:rFonts w:ascii="Century Gothic" w:hAnsi="Century Gothic"/>
            <w:sz w:val="18"/>
            <w:szCs w:val="18"/>
          </w:rPr>
          <w:t>ng552@cam.ac.uk</w:t>
        </w:r>
      </w:hyperlink>
    </w:p>
    <w:p w14:paraId="016A936C" w14:textId="0902DB1F" w:rsidR="00C70EBF" w:rsidRDefault="00E3456F" w:rsidP="002C2ADE">
      <w:pPr>
        <w:spacing w:line="360" w:lineRule="auto"/>
        <w:rPr>
          <w:rFonts w:ascii="Century Gothic" w:hAnsi="Century Gothic"/>
          <w:sz w:val="18"/>
          <w:szCs w:val="18"/>
        </w:rPr>
      </w:pPr>
      <w:r w:rsidRPr="00E3456F">
        <w:rPr>
          <w:rFonts w:ascii="Century Gothic" w:hAnsi="Century Gothic"/>
          <w:sz w:val="18"/>
          <w:szCs w:val="18"/>
        </w:rPr>
        <w:t xml:space="preserve">Ruby Rutter </w:t>
      </w:r>
      <w:hyperlink r:id="rId40" w:history="1">
        <w:r w:rsidRPr="005D1AA9">
          <w:rPr>
            <w:rStyle w:val="Hyperlink"/>
            <w:rFonts w:ascii="Century Gothic" w:hAnsi="Century Gothic"/>
            <w:sz w:val="18"/>
            <w:szCs w:val="18"/>
          </w:rPr>
          <w:t>ruby.rutter@manchester.ac.uk</w:t>
        </w:r>
      </w:hyperlink>
    </w:p>
    <w:p w14:paraId="5935983F" w14:textId="0DA9B456" w:rsidR="00E3456F" w:rsidRDefault="00E3456F" w:rsidP="002C2ADE">
      <w:pPr>
        <w:spacing w:line="360" w:lineRule="auto"/>
        <w:rPr>
          <w:rFonts w:ascii="Century Gothic" w:hAnsi="Century Gothic"/>
          <w:sz w:val="18"/>
          <w:szCs w:val="18"/>
        </w:rPr>
      </w:pPr>
      <w:r w:rsidRPr="00E3456F">
        <w:rPr>
          <w:rFonts w:ascii="Century Gothic" w:hAnsi="Century Gothic"/>
          <w:sz w:val="18"/>
          <w:szCs w:val="18"/>
        </w:rPr>
        <w:t xml:space="preserve">Kierri Price </w:t>
      </w:r>
      <w:r w:rsidR="00140835">
        <w:rPr>
          <w:rFonts w:ascii="Century Gothic" w:hAnsi="Century Gothic"/>
          <w:sz w:val="18"/>
          <w:szCs w:val="18"/>
        </w:rPr>
        <w:t xml:space="preserve">(they/them) </w:t>
      </w:r>
      <w:hyperlink r:id="rId41" w:history="1">
        <w:r w:rsidR="00140835" w:rsidRPr="005D1AA9">
          <w:rPr>
            <w:rStyle w:val="Hyperlink"/>
            <w:rFonts w:ascii="Century Gothic" w:hAnsi="Century Gothic"/>
            <w:sz w:val="18"/>
            <w:szCs w:val="18"/>
          </w:rPr>
          <w:t>kierri@hotmail.co.uk</w:t>
        </w:r>
      </w:hyperlink>
    </w:p>
    <w:p w14:paraId="38688296" w14:textId="31B2577B" w:rsidR="00E3456F" w:rsidRDefault="00140835" w:rsidP="002C2ADE">
      <w:pPr>
        <w:spacing w:line="360" w:lineRule="auto"/>
        <w:rPr>
          <w:rFonts w:ascii="Century Gothic" w:hAnsi="Century Gothic"/>
          <w:sz w:val="18"/>
          <w:szCs w:val="18"/>
        </w:rPr>
      </w:pPr>
      <w:r>
        <w:rPr>
          <w:rFonts w:ascii="Century Gothic" w:hAnsi="Century Gothic"/>
          <w:sz w:val="18"/>
          <w:szCs w:val="18"/>
        </w:rPr>
        <w:t>Elma Brenner</w:t>
      </w:r>
      <w:r w:rsidR="00E3456F" w:rsidRPr="00E3456F">
        <w:rPr>
          <w:rFonts w:ascii="Century Gothic" w:hAnsi="Century Gothic"/>
          <w:sz w:val="18"/>
          <w:szCs w:val="18"/>
        </w:rPr>
        <w:t xml:space="preserve"> </w:t>
      </w:r>
      <w:hyperlink r:id="rId42" w:history="1">
        <w:r w:rsidR="00E3456F" w:rsidRPr="005D1AA9">
          <w:rPr>
            <w:rStyle w:val="Hyperlink"/>
            <w:rFonts w:ascii="Century Gothic" w:hAnsi="Century Gothic"/>
            <w:sz w:val="18"/>
            <w:szCs w:val="18"/>
          </w:rPr>
          <w:t>E.Brenner@wellcome.org</w:t>
        </w:r>
      </w:hyperlink>
    </w:p>
    <w:p w14:paraId="3413AE8F" w14:textId="4D30A1D3" w:rsidR="00CA6D6D" w:rsidRDefault="00CA6D6D" w:rsidP="002C2ADE">
      <w:pPr>
        <w:spacing w:line="360" w:lineRule="auto"/>
        <w:rPr>
          <w:rFonts w:ascii="Century Gothic" w:hAnsi="Century Gothic"/>
          <w:sz w:val="18"/>
          <w:szCs w:val="18"/>
        </w:rPr>
      </w:pPr>
      <w:r>
        <w:rPr>
          <w:rFonts w:ascii="Century Gothic" w:hAnsi="Century Gothic"/>
          <w:sz w:val="18"/>
          <w:szCs w:val="18"/>
        </w:rPr>
        <w:br w:type="page"/>
      </w:r>
    </w:p>
    <w:p w14:paraId="5D9967FB" w14:textId="77777777" w:rsidR="001374B6" w:rsidRDefault="001374B6" w:rsidP="00AF774A">
      <w:pPr>
        <w:spacing w:after="240" w:line="360" w:lineRule="auto"/>
        <w:jc w:val="center"/>
        <w:rPr>
          <w:rFonts w:ascii="Century Gothic" w:hAnsi="Century Gothic"/>
          <w:b/>
          <w:bCs/>
          <w:sz w:val="22"/>
          <w:szCs w:val="22"/>
        </w:rPr>
      </w:pPr>
    </w:p>
    <w:p w14:paraId="2F5D566E" w14:textId="4676FB74" w:rsidR="00CA6D6D" w:rsidRDefault="00CA6D6D" w:rsidP="00AF774A">
      <w:pPr>
        <w:spacing w:after="240" w:line="360" w:lineRule="auto"/>
        <w:jc w:val="center"/>
        <w:rPr>
          <w:rFonts w:ascii="Century Gothic" w:hAnsi="Century Gothic"/>
          <w:sz w:val="22"/>
          <w:szCs w:val="22"/>
        </w:rPr>
      </w:pPr>
      <w:r>
        <w:rPr>
          <w:rFonts w:ascii="Century Gothic" w:hAnsi="Century Gothic"/>
          <w:b/>
          <w:bCs/>
          <w:sz w:val="22"/>
          <w:szCs w:val="22"/>
        </w:rPr>
        <w:t>Venue and Location</w:t>
      </w:r>
    </w:p>
    <w:p w14:paraId="797B9400" w14:textId="77777777" w:rsidR="00111C24" w:rsidRPr="00111C24" w:rsidRDefault="00111C24" w:rsidP="00AF774A">
      <w:pPr>
        <w:spacing w:after="240" w:line="360" w:lineRule="auto"/>
        <w:rPr>
          <w:rFonts w:ascii="Century Gothic" w:hAnsi="Century Gothic"/>
          <w:b/>
          <w:bCs/>
          <w:sz w:val="18"/>
          <w:szCs w:val="18"/>
        </w:rPr>
      </w:pPr>
      <w:r w:rsidRPr="00111C24">
        <w:rPr>
          <w:rFonts w:ascii="Century Gothic" w:hAnsi="Century Gothic"/>
          <w:b/>
          <w:bCs/>
          <w:sz w:val="18"/>
          <w:szCs w:val="18"/>
        </w:rPr>
        <w:t>Finding Us</w:t>
      </w:r>
    </w:p>
    <w:p w14:paraId="5DBCF018" w14:textId="688046BD" w:rsidR="00C70EBF" w:rsidRDefault="00111C24" w:rsidP="00AF774A">
      <w:pPr>
        <w:spacing w:after="240" w:line="360" w:lineRule="auto"/>
        <w:rPr>
          <w:rFonts w:ascii="Century Gothic" w:hAnsi="Century Gothic"/>
          <w:sz w:val="18"/>
          <w:szCs w:val="18"/>
        </w:rPr>
      </w:pPr>
      <w:r>
        <w:rPr>
          <w:rFonts w:ascii="Century Gothic" w:hAnsi="Century Gothic"/>
          <w:sz w:val="18"/>
          <w:szCs w:val="18"/>
        </w:rPr>
        <w:t>The conference will be held at The</w:t>
      </w:r>
      <w:r w:rsidRPr="00111C24">
        <w:rPr>
          <w:rFonts w:ascii="Century Gothic" w:hAnsi="Century Gothic"/>
          <w:sz w:val="18"/>
          <w:szCs w:val="18"/>
        </w:rPr>
        <w:t xml:space="preserve"> Stephen A. Schwarzman Centre for the Humanities</w:t>
      </w:r>
      <w:r>
        <w:rPr>
          <w:rFonts w:ascii="Century Gothic" w:hAnsi="Century Gothic"/>
          <w:sz w:val="18"/>
          <w:szCs w:val="18"/>
        </w:rPr>
        <w:t xml:space="preserve">, </w:t>
      </w:r>
      <w:r w:rsidRPr="00111C24">
        <w:rPr>
          <w:rFonts w:ascii="Century Gothic" w:hAnsi="Century Gothic"/>
          <w:sz w:val="18"/>
          <w:szCs w:val="18"/>
        </w:rPr>
        <w:t>Radcliffe Observatory Quarter</w:t>
      </w:r>
      <w:r>
        <w:rPr>
          <w:rFonts w:ascii="Century Gothic" w:hAnsi="Century Gothic"/>
          <w:sz w:val="18"/>
          <w:szCs w:val="18"/>
        </w:rPr>
        <w:t xml:space="preserve">, </w:t>
      </w:r>
      <w:r w:rsidRPr="00111C24">
        <w:rPr>
          <w:rFonts w:ascii="Century Gothic" w:hAnsi="Century Gothic"/>
          <w:sz w:val="18"/>
          <w:szCs w:val="18"/>
        </w:rPr>
        <w:t>Woodstock Road</w:t>
      </w:r>
      <w:r>
        <w:rPr>
          <w:rFonts w:ascii="Century Gothic" w:hAnsi="Century Gothic"/>
          <w:sz w:val="18"/>
          <w:szCs w:val="18"/>
        </w:rPr>
        <w:t xml:space="preserve">, </w:t>
      </w:r>
      <w:r w:rsidRPr="00111C24">
        <w:rPr>
          <w:rFonts w:ascii="Century Gothic" w:hAnsi="Century Gothic"/>
          <w:sz w:val="18"/>
          <w:szCs w:val="18"/>
        </w:rPr>
        <w:t>Oxford OX2 6GG</w:t>
      </w:r>
      <w:r>
        <w:rPr>
          <w:rFonts w:ascii="Century Gothic" w:hAnsi="Century Gothic"/>
          <w:sz w:val="18"/>
          <w:szCs w:val="18"/>
        </w:rPr>
        <w:t xml:space="preserve">. More information about the venue and guidelines for visitors can be found online: </w:t>
      </w:r>
      <w:hyperlink r:id="rId43" w:history="1">
        <w:r w:rsidRPr="005D1AA9">
          <w:rPr>
            <w:rStyle w:val="Hyperlink"/>
            <w:rFonts w:ascii="Century Gothic" w:hAnsi="Century Gothic"/>
            <w:sz w:val="18"/>
            <w:szCs w:val="18"/>
          </w:rPr>
          <w:t>https://www.schwarzmancentre.ox.ac.uk/visitor-guidelines-4kk3</w:t>
        </w:r>
      </w:hyperlink>
      <w:r>
        <w:rPr>
          <w:rFonts w:ascii="Century Gothic" w:hAnsi="Century Gothic"/>
          <w:sz w:val="18"/>
          <w:szCs w:val="18"/>
        </w:rPr>
        <w:t xml:space="preserve"> </w:t>
      </w:r>
    </w:p>
    <w:p w14:paraId="1C113BC0" w14:textId="0F068B1C" w:rsidR="00111C24" w:rsidRDefault="005C6C4F" w:rsidP="00AF774A">
      <w:pPr>
        <w:spacing w:after="240" w:line="360" w:lineRule="auto"/>
        <w:rPr>
          <w:rFonts w:ascii="Century Gothic" w:hAnsi="Century Gothic"/>
          <w:sz w:val="18"/>
          <w:szCs w:val="18"/>
        </w:rPr>
      </w:pPr>
      <w:r>
        <w:rPr>
          <w:rFonts w:ascii="Century Gothic" w:hAnsi="Century Gothic"/>
          <w:noProof/>
          <w:sz w:val="18"/>
          <w:szCs w:val="18"/>
        </w:rPr>
        <w:drawing>
          <wp:inline distT="0" distB="0" distL="0" distR="0" wp14:anchorId="09135A89" wp14:editId="1659EAE8">
            <wp:extent cx="6645812" cy="3283912"/>
            <wp:effectExtent l="0" t="0" r="0" b="5715"/>
            <wp:docPr id="4325078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07867" name="Picture 432507867"/>
                    <pic:cNvPicPr/>
                  </pic:nvPicPr>
                  <pic:blipFill rotWithShape="1">
                    <a:blip r:embed="rId44" cstate="print">
                      <a:extLst>
                        <a:ext uri="{28A0092B-C50C-407E-A947-70E740481C1C}">
                          <a14:useLocalDpi xmlns:a14="http://schemas.microsoft.com/office/drawing/2010/main" val="0"/>
                        </a:ext>
                      </a:extLst>
                    </a:blip>
                    <a:srcRect l="-1" t="19693" r="1" b="10335"/>
                    <a:stretch>
                      <a:fillRect/>
                    </a:stretch>
                  </pic:blipFill>
                  <pic:spPr bwMode="auto">
                    <a:xfrm>
                      <a:off x="0" y="0"/>
                      <a:ext cx="6645910" cy="3283960"/>
                    </a:xfrm>
                    <a:prstGeom prst="rect">
                      <a:avLst/>
                    </a:prstGeom>
                    <a:ln>
                      <a:noFill/>
                    </a:ln>
                    <a:extLst>
                      <a:ext uri="{53640926-AAD7-44D8-BBD7-CCE9431645EC}">
                        <a14:shadowObscured xmlns:a14="http://schemas.microsoft.com/office/drawing/2010/main"/>
                      </a:ext>
                    </a:extLst>
                  </pic:spPr>
                </pic:pic>
              </a:graphicData>
            </a:graphic>
          </wp:inline>
        </w:drawing>
      </w:r>
    </w:p>
    <w:p w14:paraId="2940458C" w14:textId="4E39FE72" w:rsidR="005C6C4F" w:rsidRDefault="005C6C4F" w:rsidP="00AF774A">
      <w:pPr>
        <w:spacing w:after="240" w:line="360" w:lineRule="auto"/>
        <w:rPr>
          <w:rFonts w:ascii="Century Gothic" w:hAnsi="Century Gothic"/>
          <w:sz w:val="18"/>
          <w:szCs w:val="18"/>
        </w:rPr>
      </w:pPr>
      <w:r>
        <w:rPr>
          <w:rFonts w:ascii="Century Gothic" w:hAnsi="Century Gothic"/>
          <w:sz w:val="18"/>
          <w:szCs w:val="18"/>
        </w:rPr>
        <w:t>The conference will take place on the ground floor of the building, and is fully accessible, including with accessible and gender-neutral toilets. Panels will take place in Seminar Room 63 and the Learning Centre. There are five minutes between each panel to allow attendees to swap room. Lunch and refreshments will be served in Room 79A</w:t>
      </w:r>
      <w:r w:rsidR="0057145D">
        <w:rPr>
          <w:rFonts w:ascii="Century Gothic" w:hAnsi="Century Gothic"/>
          <w:sz w:val="18"/>
          <w:szCs w:val="18"/>
        </w:rPr>
        <w:t xml:space="preserve"> </w:t>
      </w:r>
      <w:r>
        <w:rPr>
          <w:rFonts w:ascii="Century Gothic" w:hAnsi="Century Gothic"/>
          <w:sz w:val="18"/>
          <w:szCs w:val="18"/>
        </w:rPr>
        <w:t xml:space="preserve">and can be eaten in the Great Hall or outside spaces. </w:t>
      </w:r>
    </w:p>
    <w:p w14:paraId="229D0E62" w14:textId="335F195F" w:rsidR="00615079" w:rsidRPr="00615079" w:rsidRDefault="0057145D" w:rsidP="00AF774A">
      <w:pPr>
        <w:spacing w:after="240" w:line="360" w:lineRule="auto"/>
        <w:rPr>
          <w:rFonts w:ascii="Century Gothic" w:hAnsi="Century Gothic"/>
          <w:sz w:val="18"/>
          <w:szCs w:val="18"/>
        </w:rPr>
      </w:pPr>
      <w:r w:rsidRPr="0057145D">
        <w:rPr>
          <w:rFonts w:ascii="Century Gothic" w:hAnsi="Century Gothic"/>
          <w:sz w:val="18"/>
          <w:szCs w:val="18"/>
        </w:rPr>
        <w:drawing>
          <wp:inline distT="0" distB="0" distL="0" distR="0" wp14:anchorId="6664855F" wp14:editId="5BE8E6A7">
            <wp:extent cx="6645910" cy="3060700"/>
            <wp:effectExtent l="0" t="0" r="0" b="0"/>
            <wp:docPr id="231750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50589" name=""/>
                    <pic:cNvPicPr/>
                  </pic:nvPicPr>
                  <pic:blipFill>
                    <a:blip r:embed="rId45"/>
                    <a:stretch>
                      <a:fillRect/>
                    </a:stretch>
                  </pic:blipFill>
                  <pic:spPr>
                    <a:xfrm>
                      <a:off x="0" y="0"/>
                      <a:ext cx="6645910" cy="3060700"/>
                    </a:xfrm>
                    <a:prstGeom prst="rect">
                      <a:avLst/>
                    </a:prstGeom>
                  </pic:spPr>
                </pic:pic>
              </a:graphicData>
            </a:graphic>
          </wp:inline>
        </w:drawing>
      </w:r>
    </w:p>
    <w:p w14:paraId="5707AFBA" w14:textId="77777777" w:rsidR="00615079" w:rsidRDefault="00615079" w:rsidP="00AF774A">
      <w:pPr>
        <w:spacing w:after="240" w:line="360" w:lineRule="auto"/>
        <w:rPr>
          <w:rFonts w:ascii="Century Gothic" w:hAnsi="Century Gothic"/>
          <w:b/>
          <w:bCs/>
          <w:sz w:val="18"/>
          <w:szCs w:val="18"/>
        </w:rPr>
      </w:pPr>
      <w:r>
        <w:rPr>
          <w:rFonts w:ascii="Century Gothic" w:hAnsi="Century Gothic"/>
          <w:b/>
          <w:bCs/>
          <w:sz w:val="18"/>
          <w:szCs w:val="18"/>
        </w:rPr>
        <w:lastRenderedPageBreak/>
        <w:t>Registration</w:t>
      </w:r>
    </w:p>
    <w:p w14:paraId="1A8A1C6D" w14:textId="4E41FC9D" w:rsidR="00615079" w:rsidRDefault="00E44FD6" w:rsidP="00AF774A">
      <w:pPr>
        <w:spacing w:after="240" w:line="360" w:lineRule="auto"/>
        <w:rPr>
          <w:rFonts w:ascii="Century Gothic" w:hAnsi="Century Gothic"/>
          <w:sz w:val="18"/>
          <w:szCs w:val="18"/>
        </w:rPr>
      </w:pPr>
      <w:r>
        <w:rPr>
          <w:rFonts w:ascii="Century Gothic" w:hAnsi="Century Gothic"/>
          <w:sz w:val="18"/>
          <w:szCs w:val="18"/>
        </w:rPr>
        <w:t xml:space="preserve">Registration will take place on the day between 8.30-9.00am. </w:t>
      </w:r>
      <w:r w:rsidR="00477924">
        <w:rPr>
          <w:rFonts w:ascii="Century Gothic" w:hAnsi="Century Gothic"/>
          <w:sz w:val="18"/>
          <w:szCs w:val="18"/>
        </w:rPr>
        <w:t>Please c</w:t>
      </w:r>
      <w:r w:rsidRPr="00E44FD6">
        <w:rPr>
          <w:rFonts w:ascii="Century Gothic" w:hAnsi="Century Gothic"/>
          <w:sz w:val="18"/>
          <w:szCs w:val="18"/>
        </w:rPr>
        <w:t xml:space="preserve">ollect </w:t>
      </w:r>
      <w:r w:rsidR="00477924">
        <w:rPr>
          <w:rFonts w:ascii="Century Gothic" w:hAnsi="Century Gothic"/>
          <w:sz w:val="18"/>
          <w:szCs w:val="18"/>
        </w:rPr>
        <w:t xml:space="preserve">your printed copy of this </w:t>
      </w:r>
      <w:r w:rsidRPr="00E44FD6">
        <w:rPr>
          <w:rFonts w:ascii="Century Gothic" w:hAnsi="Century Gothic"/>
          <w:sz w:val="18"/>
          <w:szCs w:val="18"/>
        </w:rPr>
        <w:t xml:space="preserve">conference pack and </w:t>
      </w:r>
      <w:r w:rsidR="00477924">
        <w:rPr>
          <w:rFonts w:ascii="Century Gothic" w:hAnsi="Century Gothic"/>
          <w:sz w:val="18"/>
          <w:szCs w:val="18"/>
        </w:rPr>
        <w:t xml:space="preserve">your </w:t>
      </w:r>
      <w:r w:rsidRPr="00E44FD6">
        <w:rPr>
          <w:rFonts w:ascii="Century Gothic" w:hAnsi="Century Gothic"/>
          <w:sz w:val="18"/>
          <w:szCs w:val="18"/>
        </w:rPr>
        <w:t xml:space="preserve">name badge from </w:t>
      </w:r>
      <w:r w:rsidR="00477924">
        <w:rPr>
          <w:rFonts w:ascii="Century Gothic" w:hAnsi="Century Gothic"/>
          <w:sz w:val="18"/>
          <w:szCs w:val="18"/>
        </w:rPr>
        <w:t xml:space="preserve">the </w:t>
      </w:r>
      <w:r w:rsidRPr="00E44FD6">
        <w:rPr>
          <w:rFonts w:ascii="Century Gothic" w:hAnsi="Century Gothic"/>
          <w:sz w:val="18"/>
          <w:szCs w:val="18"/>
        </w:rPr>
        <w:t xml:space="preserve">registration desk </w:t>
      </w:r>
      <w:r w:rsidRPr="00E44FD6">
        <w:rPr>
          <w:rFonts w:ascii="Century Gothic" w:hAnsi="Century Gothic"/>
          <w:b/>
          <w:bCs/>
          <w:sz w:val="18"/>
          <w:szCs w:val="18"/>
        </w:rPr>
        <w:t>opposite the Learning Centre</w:t>
      </w:r>
      <w:r w:rsidRPr="00E44FD6">
        <w:rPr>
          <w:rFonts w:ascii="Century Gothic" w:hAnsi="Century Gothic"/>
          <w:sz w:val="18"/>
          <w:szCs w:val="18"/>
        </w:rPr>
        <w:t>, at the </w:t>
      </w:r>
      <w:r w:rsidRPr="00E44FD6">
        <w:rPr>
          <w:rFonts w:ascii="Century Gothic" w:hAnsi="Century Gothic"/>
          <w:b/>
          <w:bCs/>
          <w:sz w:val="18"/>
          <w:szCs w:val="18"/>
        </w:rPr>
        <w:t>North Entrance</w:t>
      </w:r>
      <w:r w:rsidRPr="00E44FD6">
        <w:rPr>
          <w:rFonts w:ascii="Century Gothic" w:hAnsi="Century Gothic"/>
          <w:sz w:val="18"/>
          <w:szCs w:val="18"/>
        </w:rPr>
        <w:t>.</w:t>
      </w:r>
      <w:r>
        <w:rPr>
          <w:rFonts w:ascii="Century Gothic" w:hAnsi="Century Gothic"/>
          <w:sz w:val="18"/>
          <w:szCs w:val="18"/>
        </w:rPr>
        <w:t xml:space="preserve"> </w:t>
      </w:r>
    </w:p>
    <w:p w14:paraId="375E6A39" w14:textId="1F60D0D8" w:rsidR="00E44FD6" w:rsidRDefault="00E44FD6" w:rsidP="00AF774A">
      <w:pPr>
        <w:spacing w:after="240" w:line="360" w:lineRule="auto"/>
        <w:rPr>
          <w:rFonts w:ascii="Century Gothic" w:hAnsi="Century Gothic"/>
          <w:sz w:val="18"/>
          <w:szCs w:val="18"/>
        </w:rPr>
      </w:pPr>
      <w:r>
        <w:rPr>
          <w:rFonts w:ascii="Century Gothic" w:hAnsi="Century Gothic"/>
          <w:sz w:val="18"/>
          <w:szCs w:val="18"/>
        </w:rPr>
        <w:t xml:space="preserve">If you are unable to arrive this early due to travel constraints, please let us know as soon as possible. If travel difficulties arise on the day and you’re running late, you can contact us by email.  </w:t>
      </w:r>
    </w:p>
    <w:p w14:paraId="680D2D0B" w14:textId="13AC5B2E" w:rsidR="00615079" w:rsidRDefault="00615079" w:rsidP="00AF774A">
      <w:pPr>
        <w:spacing w:after="240" w:line="360" w:lineRule="auto"/>
        <w:rPr>
          <w:rFonts w:ascii="Century Gothic" w:hAnsi="Century Gothic"/>
          <w:sz w:val="18"/>
          <w:szCs w:val="18"/>
        </w:rPr>
      </w:pPr>
      <w:r>
        <w:rPr>
          <w:rFonts w:ascii="Century Gothic" w:hAnsi="Century Gothic"/>
          <w:b/>
          <w:bCs/>
          <w:sz w:val="18"/>
          <w:szCs w:val="18"/>
        </w:rPr>
        <w:t xml:space="preserve">Travelling to and Staying in Oxford </w:t>
      </w:r>
    </w:p>
    <w:p w14:paraId="6F6D17CE" w14:textId="43A124D1" w:rsidR="00615079" w:rsidRPr="00615079" w:rsidRDefault="00615079" w:rsidP="00AF774A">
      <w:pPr>
        <w:spacing w:after="240" w:line="360" w:lineRule="auto"/>
        <w:rPr>
          <w:rFonts w:ascii="Century Gothic" w:hAnsi="Century Gothic"/>
          <w:sz w:val="18"/>
          <w:szCs w:val="18"/>
        </w:rPr>
      </w:pPr>
      <w:r>
        <w:rPr>
          <w:rFonts w:ascii="Century Gothic" w:hAnsi="Century Gothic"/>
          <w:sz w:val="18"/>
          <w:szCs w:val="18"/>
        </w:rPr>
        <w:t xml:space="preserve">Unfortunately we cannot provide any help or funding for travel and accommodation. The venue is approximately a 20 minute walk, 15 minute bus ride, or 7 minute cab from Oxford Railway Station, and a 10 minute walk or bus ride, or 5 minute cab from Gloucester Green Bus Station. There are many places to stay in Oxford, with affordable options including Premier Inn and Marriott in central Oxford, and easyHotel in Summertown, north of the venue. </w:t>
      </w:r>
    </w:p>
    <w:p w14:paraId="679791B9" w14:textId="5CED66B5" w:rsidR="00111C24" w:rsidRPr="00111C24" w:rsidRDefault="00111C24" w:rsidP="00AF774A">
      <w:pPr>
        <w:spacing w:after="240" w:line="360" w:lineRule="auto"/>
        <w:rPr>
          <w:rFonts w:ascii="Century Gothic" w:hAnsi="Century Gothic"/>
          <w:b/>
          <w:bCs/>
          <w:sz w:val="18"/>
          <w:szCs w:val="18"/>
        </w:rPr>
      </w:pPr>
      <w:r>
        <w:rPr>
          <w:rFonts w:ascii="Century Gothic" w:hAnsi="Century Gothic"/>
          <w:b/>
          <w:bCs/>
          <w:sz w:val="18"/>
          <w:szCs w:val="18"/>
        </w:rPr>
        <w:t>Eating and Drinking</w:t>
      </w:r>
    </w:p>
    <w:p w14:paraId="2FAA8B3D" w14:textId="5CE951EF" w:rsidR="00111C24" w:rsidRDefault="00111C24" w:rsidP="00AF774A">
      <w:pPr>
        <w:spacing w:after="240" w:line="360" w:lineRule="auto"/>
        <w:rPr>
          <w:rFonts w:ascii="Century Gothic" w:hAnsi="Century Gothic"/>
          <w:sz w:val="18"/>
          <w:szCs w:val="18"/>
        </w:rPr>
      </w:pPr>
      <w:r>
        <w:rPr>
          <w:rFonts w:ascii="Century Gothic" w:hAnsi="Century Gothic"/>
          <w:sz w:val="18"/>
          <w:szCs w:val="18"/>
        </w:rPr>
        <w:t xml:space="preserve">A sandwich lunch </w:t>
      </w:r>
      <w:r w:rsidR="00E1507F">
        <w:rPr>
          <w:rFonts w:ascii="Century Gothic" w:hAnsi="Century Gothic"/>
          <w:sz w:val="18"/>
          <w:szCs w:val="18"/>
        </w:rPr>
        <w:t xml:space="preserve">from a local </w:t>
      </w:r>
      <w:r w:rsidR="00EC7A77">
        <w:rPr>
          <w:rFonts w:ascii="Century Gothic" w:hAnsi="Century Gothic"/>
          <w:sz w:val="18"/>
          <w:szCs w:val="18"/>
        </w:rPr>
        <w:t>cafe</w:t>
      </w:r>
      <w:r w:rsidR="00E1507F">
        <w:rPr>
          <w:rFonts w:ascii="Century Gothic" w:hAnsi="Century Gothic"/>
          <w:sz w:val="18"/>
          <w:szCs w:val="18"/>
        </w:rPr>
        <w:t xml:space="preserve"> </w:t>
      </w:r>
      <w:r>
        <w:rPr>
          <w:rFonts w:ascii="Century Gothic" w:hAnsi="Century Gothic"/>
          <w:sz w:val="18"/>
          <w:szCs w:val="18"/>
        </w:rPr>
        <w:t xml:space="preserve">and a morning coffee and refreshments break will be provided. Dietary requirements will be catered for. </w:t>
      </w:r>
      <w:r w:rsidR="005C6C4F">
        <w:rPr>
          <w:rFonts w:ascii="Century Gothic" w:hAnsi="Century Gothic"/>
          <w:sz w:val="18"/>
          <w:szCs w:val="18"/>
        </w:rPr>
        <w:t>The Schwarzman Centre’s C</w:t>
      </w:r>
      <w:r w:rsidR="005C6C4F" w:rsidRPr="005C6C4F">
        <w:rPr>
          <w:rFonts w:ascii="Century Gothic" w:hAnsi="Century Gothic"/>
          <w:sz w:val="18"/>
          <w:szCs w:val="18"/>
        </w:rPr>
        <w:t>afé and Coffee Bar are open weekdays 08:00 – 16:00.</w:t>
      </w:r>
    </w:p>
    <w:p w14:paraId="7FDA0589" w14:textId="0E18FF53" w:rsidR="00111C24" w:rsidRDefault="00111C24" w:rsidP="00AF774A">
      <w:pPr>
        <w:spacing w:after="240" w:line="360" w:lineRule="auto"/>
        <w:rPr>
          <w:rFonts w:ascii="Century Gothic" w:hAnsi="Century Gothic"/>
          <w:sz w:val="18"/>
          <w:szCs w:val="18"/>
        </w:rPr>
      </w:pPr>
      <w:r>
        <w:rPr>
          <w:rFonts w:ascii="Century Gothic" w:hAnsi="Century Gothic"/>
          <w:sz w:val="18"/>
          <w:szCs w:val="18"/>
        </w:rPr>
        <w:t>Conference drinks will take place at a nearby pub following the end of proceeding</w:t>
      </w:r>
      <w:r w:rsidR="005C6C4F">
        <w:rPr>
          <w:rFonts w:ascii="Century Gothic" w:hAnsi="Century Gothic"/>
          <w:sz w:val="18"/>
          <w:szCs w:val="18"/>
        </w:rPr>
        <w:t>s</w:t>
      </w:r>
      <w:r>
        <w:rPr>
          <w:rFonts w:ascii="Century Gothic" w:hAnsi="Century Gothic"/>
          <w:sz w:val="18"/>
          <w:szCs w:val="18"/>
        </w:rPr>
        <w:t xml:space="preserve">. </w:t>
      </w:r>
      <w:r w:rsidR="005C6C4F">
        <w:rPr>
          <w:rFonts w:ascii="Century Gothic" w:hAnsi="Century Gothic"/>
          <w:sz w:val="18"/>
          <w:szCs w:val="18"/>
        </w:rPr>
        <w:t xml:space="preserve">Full details will be announced on the day. </w:t>
      </w:r>
    </w:p>
    <w:p w14:paraId="76AEB8D2" w14:textId="124C5172" w:rsidR="00615079" w:rsidRPr="00615079" w:rsidRDefault="005C6C4F" w:rsidP="00AF774A">
      <w:pPr>
        <w:spacing w:after="240" w:line="360" w:lineRule="auto"/>
        <w:rPr>
          <w:rFonts w:ascii="Century Gothic" w:hAnsi="Century Gothic"/>
          <w:sz w:val="18"/>
          <w:szCs w:val="18"/>
        </w:rPr>
      </w:pPr>
      <w:r>
        <w:rPr>
          <w:rFonts w:ascii="Century Gothic" w:hAnsi="Century Gothic"/>
          <w:sz w:val="18"/>
          <w:szCs w:val="18"/>
        </w:rPr>
        <w:t xml:space="preserve">The Schwarzman Centre is in Oxford’s pretty Jericho area, and there are many options for breakfast and dinner nearby. A few recommendations are </w:t>
      </w:r>
      <w:r w:rsidR="0057145D">
        <w:rPr>
          <w:rFonts w:ascii="Century Gothic" w:hAnsi="Century Gothic"/>
          <w:sz w:val="18"/>
          <w:szCs w:val="18"/>
        </w:rPr>
        <w:t>Edge Coffee, Opera Café, Common Ground Coffee,</w:t>
      </w:r>
      <w:r w:rsidR="00E51C50">
        <w:rPr>
          <w:rFonts w:ascii="Century Gothic" w:hAnsi="Century Gothic"/>
          <w:sz w:val="18"/>
          <w:szCs w:val="18"/>
        </w:rPr>
        <w:t xml:space="preserve"> Taylors Sandwiches,</w:t>
      </w:r>
      <w:r w:rsidR="0057145D">
        <w:rPr>
          <w:rFonts w:ascii="Century Gothic" w:hAnsi="Century Gothic"/>
          <w:sz w:val="18"/>
          <w:szCs w:val="18"/>
        </w:rPr>
        <w:t xml:space="preserve"> Manos Greek Food Bar, The Victoria Pub, Pierre Victoire, and Mamma Mia Pizzeria. Or you can walk 15 minutes to explore the centre of Oxford</w:t>
      </w:r>
      <w:r w:rsidR="000C0542">
        <w:rPr>
          <w:rFonts w:ascii="Century Gothic" w:hAnsi="Century Gothic"/>
          <w:sz w:val="18"/>
          <w:szCs w:val="18"/>
        </w:rPr>
        <w:t xml:space="preserve">! </w:t>
      </w:r>
    </w:p>
    <w:sectPr w:rsidR="00615079" w:rsidRPr="00615079" w:rsidSect="00AD3E38">
      <w:headerReference w:type="even" r:id="rId46"/>
      <w:headerReference w:type="default" r:id="rId47"/>
      <w:footerReference w:type="even" r:id="rId48"/>
      <w:footerReference w:type="default" r:id="rId49"/>
      <w:headerReference w:type="first" r:id="rId50"/>
      <w:footerReference w:type="first" r:id="rId51"/>
      <w:pgSz w:w="11906" w:h="16838"/>
      <w:pgMar w:top="720" w:right="720" w:bottom="720" w:left="72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BB95F" w14:textId="77777777" w:rsidR="00B02A15" w:rsidRDefault="00B02A15" w:rsidP="0015543C">
      <w:r>
        <w:separator/>
      </w:r>
    </w:p>
  </w:endnote>
  <w:endnote w:type="continuationSeparator" w:id="0">
    <w:p w14:paraId="59CD43BD" w14:textId="77777777" w:rsidR="00B02A15" w:rsidRDefault="00B02A15" w:rsidP="00155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6B75A" w14:textId="77777777" w:rsidR="00AD3E38" w:rsidRDefault="00AD3E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F6FD4" w14:textId="77777777" w:rsidR="00AD3E38" w:rsidRDefault="00AD3E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CEAC6" w14:textId="77777777" w:rsidR="00AD3E38" w:rsidRDefault="00AD3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5EAD3" w14:textId="77777777" w:rsidR="00B02A15" w:rsidRDefault="00B02A15" w:rsidP="0015543C">
      <w:r>
        <w:separator/>
      </w:r>
    </w:p>
  </w:footnote>
  <w:footnote w:type="continuationSeparator" w:id="0">
    <w:p w14:paraId="46BF29B7" w14:textId="77777777" w:rsidR="00B02A15" w:rsidRDefault="00B02A15" w:rsidP="00155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27BBE" w14:textId="77777777" w:rsidR="00AD3E38" w:rsidRDefault="00AD3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14389" w14:textId="77777777" w:rsidR="00AD3E38" w:rsidRDefault="00AD3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1A64" w14:textId="77777777" w:rsidR="00AD3E38" w:rsidRDefault="00AD3E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43C"/>
    <w:rsid w:val="000A59C4"/>
    <w:rsid w:val="000C0542"/>
    <w:rsid w:val="00111C24"/>
    <w:rsid w:val="001374B6"/>
    <w:rsid w:val="0013776A"/>
    <w:rsid w:val="00140835"/>
    <w:rsid w:val="0015411B"/>
    <w:rsid w:val="0015543C"/>
    <w:rsid w:val="00254A2C"/>
    <w:rsid w:val="0026738A"/>
    <w:rsid w:val="002C2ADE"/>
    <w:rsid w:val="003C7622"/>
    <w:rsid w:val="003E4FA2"/>
    <w:rsid w:val="00445347"/>
    <w:rsid w:val="00477924"/>
    <w:rsid w:val="004F1672"/>
    <w:rsid w:val="0057145D"/>
    <w:rsid w:val="005C6C4F"/>
    <w:rsid w:val="00615079"/>
    <w:rsid w:val="00634E59"/>
    <w:rsid w:val="0064230A"/>
    <w:rsid w:val="00687775"/>
    <w:rsid w:val="006B0CD4"/>
    <w:rsid w:val="006C7B19"/>
    <w:rsid w:val="007763D7"/>
    <w:rsid w:val="008128EB"/>
    <w:rsid w:val="008338FA"/>
    <w:rsid w:val="009715F7"/>
    <w:rsid w:val="009A4F1C"/>
    <w:rsid w:val="009C6A92"/>
    <w:rsid w:val="00AD3E38"/>
    <w:rsid w:val="00AE4DE7"/>
    <w:rsid w:val="00AF774A"/>
    <w:rsid w:val="00B02A15"/>
    <w:rsid w:val="00C141F9"/>
    <w:rsid w:val="00C70EBF"/>
    <w:rsid w:val="00C751DA"/>
    <w:rsid w:val="00CA6D6D"/>
    <w:rsid w:val="00E1507F"/>
    <w:rsid w:val="00E238AF"/>
    <w:rsid w:val="00E25C8A"/>
    <w:rsid w:val="00E3456F"/>
    <w:rsid w:val="00E44FD6"/>
    <w:rsid w:val="00E51C50"/>
    <w:rsid w:val="00EC7A77"/>
    <w:rsid w:val="00ED67EE"/>
    <w:rsid w:val="00EF23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F5AC8"/>
  <w15:chartTrackingRefBased/>
  <w15:docId w15:val="{6883F253-1AD4-AB47-AA71-12485AA37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8FA"/>
  </w:style>
  <w:style w:type="paragraph" w:styleId="Heading1">
    <w:name w:val="heading 1"/>
    <w:basedOn w:val="Normal"/>
    <w:next w:val="Normal"/>
    <w:link w:val="Heading1Char"/>
    <w:uiPriority w:val="9"/>
    <w:qFormat/>
    <w:rsid w:val="001554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54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54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54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54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543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54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54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54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4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54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54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54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54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54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54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54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543C"/>
    <w:rPr>
      <w:rFonts w:eastAsiaTheme="majorEastAsia" w:cstheme="majorBidi"/>
      <w:color w:val="272727" w:themeColor="text1" w:themeTint="D8"/>
    </w:rPr>
  </w:style>
  <w:style w:type="paragraph" w:styleId="Title">
    <w:name w:val="Title"/>
    <w:basedOn w:val="Normal"/>
    <w:next w:val="Normal"/>
    <w:link w:val="TitleChar"/>
    <w:uiPriority w:val="10"/>
    <w:qFormat/>
    <w:rsid w:val="0015543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4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543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54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543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5543C"/>
    <w:rPr>
      <w:i/>
      <w:iCs/>
      <w:color w:val="404040" w:themeColor="text1" w:themeTint="BF"/>
    </w:rPr>
  </w:style>
  <w:style w:type="paragraph" w:styleId="ListParagraph">
    <w:name w:val="List Paragraph"/>
    <w:basedOn w:val="Normal"/>
    <w:uiPriority w:val="34"/>
    <w:qFormat/>
    <w:rsid w:val="0015543C"/>
    <w:pPr>
      <w:ind w:left="720"/>
      <w:contextualSpacing/>
    </w:pPr>
  </w:style>
  <w:style w:type="character" w:styleId="IntenseEmphasis">
    <w:name w:val="Intense Emphasis"/>
    <w:basedOn w:val="DefaultParagraphFont"/>
    <w:uiPriority w:val="21"/>
    <w:qFormat/>
    <w:rsid w:val="0015543C"/>
    <w:rPr>
      <w:i/>
      <w:iCs/>
      <w:color w:val="0F4761" w:themeColor="accent1" w:themeShade="BF"/>
    </w:rPr>
  </w:style>
  <w:style w:type="paragraph" w:styleId="IntenseQuote">
    <w:name w:val="Intense Quote"/>
    <w:basedOn w:val="Normal"/>
    <w:next w:val="Normal"/>
    <w:link w:val="IntenseQuoteChar"/>
    <w:uiPriority w:val="30"/>
    <w:qFormat/>
    <w:rsid w:val="001554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543C"/>
    <w:rPr>
      <w:i/>
      <w:iCs/>
      <w:color w:val="0F4761" w:themeColor="accent1" w:themeShade="BF"/>
    </w:rPr>
  </w:style>
  <w:style w:type="character" w:styleId="IntenseReference">
    <w:name w:val="Intense Reference"/>
    <w:basedOn w:val="DefaultParagraphFont"/>
    <w:uiPriority w:val="32"/>
    <w:qFormat/>
    <w:rsid w:val="0015543C"/>
    <w:rPr>
      <w:b/>
      <w:bCs/>
      <w:smallCaps/>
      <w:color w:val="0F4761" w:themeColor="accent1" w:themeShade="BF"/>
      <w:spacing w:val="5"/>
    </w:rPr>
  </w:style>
  <w:style w:type="paragraph" w:styleId="NormalWeb">
    <w:name w:val="Normal (Web)"/>
    <w:basedOn w:val="Normal"/>
    <w:uiPriority w:val="99"/>
    <w:semiHidden/>
    <w:unhideWhenUsed/>
    <w:rsid w:val="0015543C"/>
    <w:rPr>
      <w:rFonts w:ascii="Times New Roman" w:hAnsi="Times New Roman" w:cs="Times New Roman"/>
    </w:rPr>
  </w:style>
  <w:style w:type="paragraph" w:styleId="Header">
    <w:name w:val="header"/>
    <w:basedOn w:val="Normal"/>
    <w:link w:val="HeaderChar"/>
    <w:uiPriority w:val="99"/>
    <w:unhideWhenUsed/>
    <w:rsid w:val="0015543C"/>
    <w:pPr>
      <w:tabs>
        <w:tab w:val="center" w:pos="4513"/>
        <w:tab w:val="right" w:pos="9026"/>
      </w:tabs>
    </w:pPr>
  </w:style>
  <w:style w:type="character" w:customStyle="1" w:styleId="HeaderChar">
    <w:name w:val="Header Char"/>
    <w:basedOn w:val="DefaultParagraphFont"/>
    <w:link w:val="Header"/>
    <w:uiPriority w:val="99"/>
    <w:rsid w:val="0015543C"/>
  </w:style>
  <w:style w:type="paragraph" w:styleId="Footer">
    <w:name w:val="footer"/>
    <w:basedOn w:val="Normal"/>
    <w:link w:val="FooterChar"/>
    <w:uiPriority w:val="99"/>
    <w:unhideWhenUsed/>
    <w:rsid w:val="0015543C"/>
    <w:pPr>
      <w:tabs>
        <w:tab w:val="center" w:pos="4513"/>
        <w:tab w:val="right" w:pos="9026"/>
      </w:tabs>
    </w:pPr>
  </w:style>
  <w:style w:type="character" w:customStyle="1" w:styleId="FooterChar">
    <w:name w:val="Footer Char"/>
    <w:basedOn w:val="DefaultParagraphFont"/>
    <w:link w:val="Footer"/>
    <w:uiPriority w:val="99"/>
    <w:rsid w:val="0015543C"/>
  </w:style>
  <w:style w:type="character" w:customStyle="1" w:styleId="apple-converted-space">
    <w:name w:val="apple-converted-space"/>
    <w:basedOn w:val="DefaultParagraphFont"/>
    <w:rsid w:val="00AD3E38"/>
  </w:style>
  <w:style w:type="character" w:styleId="Hyperlink">
    <w:name w:val="Hyperlink"/>
    <w:basedOn w:val="DefaultParagraphFont"/>
    <w:uiPriority w:val="99"/>
    <w:unhideWhenUsed/>
    <w:rsid w:val="00E3456F"/>
    <w:rPr>
      <w:color w:val="467886" w:themeColor="hyperlink"/>
      <w:u w:val="single"/>
    </w:rPr>
  </w:style>
  <w:style w:type="character" w:styleId="UnresolvedMention">
    <w:name w:val="Unresolved Mention"/>
    <w:basedOn w:val="DefaultParagraphFont"/>
    <w:uiPriority w:val="99"/>
    <w:semiHidden/>
    <w:unhideWhenUsed/>
    <w:rsid w:val="00E3456F"/>
    <w:rPr>
      <w:color w:val="605E5C"/>
      <w:shd w:val="clear" w:color="auto" w:fill="E1DFDD"/>
    </w:rPr>
  </w:style>
  <w:style w:type="character" w:styleId="FollowedHyperlink">
    <w:name w:val="FollowedHyperlink"/>
    <w:basedOn w:val="DefaultParagraphFont"/>
    <w:uiPriority w:val="99"/>
    <w:semiHidden/>
    <w:unhideWhenUsed/>
    <w:rsid w:val="00E3456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ulyan.oldham@ell.ox.ac.uk" TargetMode="External"/><Relationship Id="rId18" Type="http://schemas.openxmlformats.org/officeDocument/2006/relationships/hyperlink" Target="mailto:jadexuanuoe@outlook.com" TargetMode="External"/><Relationship Id="rId26" Type="http://schemas.openxmlformats.org/officeDocument/2006/relationships/hyperlink" Target="mailto:ella.sheddick.25@ucl.ac.uk" TargetMode="External"/><Relationship Id="rId39" Type="http://schemas.openxmlformats.org/officeDocument/2006/relationships/hyperlink" Target="mailto:ng552@cam.ac.uk" TargetMode="External"/><Relationship Id="rId21" Type="http://schemas.openxmlformats.org/officeDocument/2006/relationships/hyperlink" Target="mailto:seonaidanthoney@gmail.com" TargetMode="External"/><Relationship Id="rId34" Type="http://schemas.openxmlformats.org/officeDocument/2006/relationships/hyperlink" Target="mailto:ona23@cantab.ac.uk" TargetMode="External"/><Relationship Id="rId42" Type="http://schemas.openxmlformats.org/officeDocument/2006/relationships/hyperlink" Target="mailto:E.Brenner@wellcome.org"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hyperlink" Target="mailto:bihn@history.ox.ac.uk" TargetMode="External"/><Relationship Id="rId2" Type="http://schemas.openxmlformats.org/officeDocument/2006/relationships/settings" Target="settings.xml"/><Relationship Id="rId16" Type="http://schemas.openxmlformats.org/officeDocument/2006/relationships/hyperlink" Target="mailto:bihn@history.ox.ac.uk" TargetMode="External"/><Relationship Id="rId29" Type="http://schemas.openxmlformats.org/officeDocument/2006/relationships/hyperlink" Target="mailto:huanq390@newschool.edu" TargetMode="External"/><Relationship Id="rId11" Type="http://schemas.openxmlformats.org/officeDocument/2006/relationships/hyperlink" Target="mailto:emilia.stuchlik@lincoln.ox.ac.uk" TargetMode="External"/><Relationship Id="rId24" Type="http://schemas.openxmlformats.org/officeDocument/2006/relationships/hyperlink" Target="mailto:linda.kvitkina@lmh.ox.ac.uk" TargetMode="External"/><Relationship Id="rId32" Type="http://schemas.openxmlformats.org/officeDocument/2006/relationships/hyperlink" Target="mailto:mahussey@tcd.ie" TargetMode="External"/><Relationship Id="rId37" Type="http://schemas.openxmlformats.org/officeDocument/2006/relationships/hyperlink" Target="mailto:Angeliki.Kokkali@glasgow.ac.uk" TargetMode="External"/><Relationship Id="rId40" Type="http://schemas.openxmlformats.org/officeDocument/2006/relationships/hyperlink" Target="mailto:ruby.rutter@manchester.ac.uk" TargetMode="External"/><Relationship Id="rId45" Type="http://schemas.openxmlformats.org/officeDocument/2006/relationships/image" Target="media/image3.png"/><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hyperlink" Target="mailto:helena.aeberli@magd.ox.ac.uk" TargetMode="External"/><Relationship Id="rId19" Type="http://schemas.openxmlformats.org/officeDocument/2006/relationships/hyperlink" Target="mailto:Hanne.Berendse@uibk.ac.at" TargetMode="External"/><Relationship Id="rId31" Type="http://schemas.openxmlformats.org/officeDocument/2006/relationships/hyperlink" Target="mailto:jdm207@cam.ac.uk" TargetMode="External"/><Relationship Id="rId44" Type="http://schemas.openxmlformats.org/officeDocument/2006/relationships/image" Target="media/image2.pn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bihn@history.ox.ac.uk" TargetMode="External"/><Relationship Id="rId14" Type="http://schemas.openxmlformats.org/officeDocument/2006/relationships/hyperlink" Target="mailto:chloe.green@univ.ox.ac.uk" TargetMode="External"/><Relationship Id="rId22" Type="http://schemas.openxmlformats.org/officeDocument/2006/relationships/hyperlink" Target="mailto:Y.Zhang5@leeds.ac.uk" TargetMode="External"/><Relationship Id="rId27" Type="http://schemas.openxmlformats.org/officeDocument/2006/relationships/hyperlink" Target="mailto:kerri.armstrong@northumbria.ac.uk" TargetMode="External"/><Relationship Id="rId30" Type="http://schemas.openxmlformats.org/officeDocument/2006/relationships/hyperlink" Target="mailto:ailsa.maxwell@keble.ox.ac.uk" TargetMode="External"/><Relationship Id="rId35" Type="http://schemas.openxmlformats.org/officeDocument/2006/relationships/hyperlink" Target="mailto:anja.segmuller@pmb.ox.ac.uk" TargetMode="External"/><Relationship Id="rId43" Type="http://schemas.openxmlformats.org/officeDocument/2006/relationships/hyperlink" Target="https://www.schwarzmancentre.ox.ac.uk/visitor-guidelines-4kk3" TargetMode="External"/><Relationship Id="rId48" Type="http://schemas.openxmlformats.org/officeDocument/2006/relationships/footer" Target="footer1.xml"/><Relationship Id="rId8" Type="http://schemas.openxmlformats.org/officeDocument/2006/relationships/hyperlink" Target="https://www.torch.ox.ac.uk/the-body-in-history-network" TargetMode="External"/><Relationship Id="rId51" Type="http://schemas.openxmlformats.org/officeDocument/2006/relationships/footer" Target="footer3.xml"/><Relationship Id="rId3" Type="http://schemas.openxmlformats.org/officeDocument/2006/relationships/webSettings" Target="webSettings.xml"/><Relationship Id="rId12" Type="http://schemas.openxmlformats.org/officeDocument/2006/relationships/hyperlink" Target="mailto:orestis.tzirtzilakis@merton.ox.ac.uk" TargetMode="External"/><Relationship Id="rId17" Type="http://schemas.openxmlformats.org/officeDocument/2006/relationships/hyperlink" Target="mailto:S.J.Bremer@wlv.ac.uk" TargetMode="External"/><Relationship Id="rId25" Type="http://schemas.openxmlformats.org/officeDocument/2006/relationships/hyperlink" Target="mailto:devon.rosenberger@spc.ox.ac.uk" TargetMode="External"/><Relationship Id="rId33" Type="http://schemas.openxmlformats.org/officeDocument/2006/relationships/hyperlink" Target="mailto:elisian.ralli@keble.ox.ac.uk" TargetMode="External"/><Relationship Id="rId38" Type="http://schemas.openxmlformats.org/officeDocument/2006/relationships/hyperlink" Target="mailto:Hannah.Cotterill.2023@live.rhul.ac.uk" TargetMode="External"/><Relationship Id="rId46" Type="http://schemas.openxmlformats.org/officeDocument/2006/relationships/header" Target="header1.xml"/><Relationship Id="rId20" Type="http://schemas.openxmlformats.org/officeDocument/2006/relationships/hyperlink" Target="mailto:lily.jeannin.bourse@gmail.com" TargetMode="External"/><Relationship Id="rId41" Type="http://schemas.openxmlformats.org/officeDocument/2006/relationships/hyperlink" Target="mailto:kierri@hotmail.co.uk"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mailto:torch@humanities.ox.ac.uk" TargetMode="External"/><Relationship Id="rId23" Type="http://schemas.openxmlformats.org/officeDocument/2006/relationships/hyperlink" Target="mailto:finnella.manders.23@ucl.ac.uk" TargetMode="External"/><Relationship Id="rId28" Type="http://schemas.openxmlformats.org/officeDocument/2006/relationships/hyperlink" Target="mailto:C2407965@courtauld.ac.uk" TargetMode="External"/><Relationship Id="rId36" Type="http://schemas.openxmlformats.org/officeDocument/2006/relationships/hyperlink" Target="mailto:ge.yang@durham.ac.uk"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17</Pages>
  <Words>7341</Words>
  <Characters>41846</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Aeberli</dc:creator>
  <cp:keywords/>
  <dc:description/>
  <cp:lastModifiedBy>Helena Aeberli</cp:lastModifiedBy>
  <cp:revision>45</cp:revision>
  <dcterms:created xsi:type="dcterms:W3CDTF">2026-05-29T09:02:00Z</dcterms:created>
  <dcterms:modified xsi:type="dcterms:W3CDTF">2026-05-29T10:49:00Z</dcterms:modified>
</cp:coreProperties>
</file>